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3" w:id="0"/>
      <w:r>
        <w:rPr>
          <w:rFonts w:ascii="Times New Roman" w:hAnsi="Times New Roman"/>
          <w:color w:val="000000"/>
        </w:rPr>
        <w:t>PART 33</w:t>
      </w:r>
      <w:r>
        <w:rPr>
          <w:rFonts w:ascii="Times New Roman" w:hAnsi="Times New Roman"/>
          <w:color w:val="000000"/>
        </w:rPr>
        <w:t xml:space="preserve"> – PROTESTS, DISPUTES, AND APPEALS</w:t>
      </w:r>
      <w:bookmarkEnd w:id="0"/>
    </w:p>
    <w:p>
      <w:pPr>
        <w:spacing w:after="0"/>
        <w:jc w:val="left"/>
        <w:ind w:left="720" w:hanging="360"/>
      </w:pPr>
      <w:hyperlink w:anchor="DLAD_SUBPART_33_1">
        <w:r>
          <w:rPr>
            <w:rStyle w:val="Hyperlink"/>
            <w:rFonts w:ascii="Times New Roman" w:hAnsi="Times New Roman"/>
            <w:b w:val="false"/>
            <w:i w:val="false"/>
            <w:color w:val="0000ff"/>
            <w:sz w:val="22"/>
            <w:u w:val="single"/>
          </w:rPr>
          <w:t>SUBPART 33.1 – PROTESTS</w:t>
        </w:r>
      </w:hyperlink>
    </w:p>
    <w:p>
      <w:pPr>
        <w:spacing w:after="0"/>
        <w:jc w:val="left"/>
        <w:ind w:left="1440" w:hanging="360"/>
      </w:pPr>
      <w:hyperlink w:anchor="DLAD_33_103">
        <w:r>
          <w:rPr>
            <w:rStyle w:val="Hyperlink"/>
            <w:rFonts w:ascii="Times New Roman" w:hAnsi="Times New Roman"/>
            <w:b w:val="false"/>
            <w:i w:val="false"/>
            <w:color w:val="0000ff"/>
            <w:sz w:val="22"/>
            <w:u w:val="single"/>
          </w:rPr>
          <w:t>33.103 Protests to the agency.</w:t>
        </w:r>
      </w:hyperlink>
    </w:p>
    <w:p>
      <w:pPr>
        <w:spacing w:after="0"/>
        <w:jc w:val="left"/>
        <w:ind w:left="1440" w:hanging="360"/>
      </w:pPr>
      <w:hyperlink w:anchor="DLAD_33_104">
        <w:r>
          <w:rPr>
            <w:rStyle w:val="Hyperlink"/>
            <w:rFonts w:ascii="Times New Roman" w:hAnsi="Times New Roman"/>
            <w:b w:val="false"/>
            <w:i w:val="false"/>
            <w:color w:val="0000ff"/>
            <w:sz w:val="22"/>
            <w:u w:val="single"/>
          </w:rPr>
          <w:t>33.104 Protests to GAO.</w:t>
        </w:r>
      </w:hyperlink>
    </w:p>
    <w:p>
      <w:pPr>
        <w:spacing w:after="0"/>
        <w:jc w:val="left"/>
        <w:ind w:left="720" w:hanging="360"/>
      </w:pPr>
      <w:hyperlink w:anchor="DLAD_SUBPART_33_2">
        <w:r>
          <w:rPr>
            <w:rStyle w:val="Hyperlink"/>
            <w:rFonts w:ascii="Times New Roman" w:hAnsi="Times New Roman"/>
            <w:b w:val="false"/>
            <w:i w:val="false"/>
            <w:color w:val="0000ff"/>
            <w:sz w:val="22"/>
            <w:u w:val="single"/>
          </w:rPr>
          <w:t>SUBPART 33.2 – DISPUTES AND APPEALS</w:t>
        </w:r>
      </w:hyperlink>
    </w:p>
    <w:p>
      <w:pPr>
        <w:spacing w:after="0"/>
        <w:jc w:val="left"/>
        <w:ind w:left="1440" w:hanging="360"/>
      </w:pPr>
      <w:hyperlink w:anchor="DLAD_33_209">
        <w:r>
          <w:rPr>
            <w:rStyle w:val="Hyperlink"/>
            <w:rFonts w:ascii="Times New Roman" w:hAnsi="Times New Roman"/>
            <w:b w:val="false"/>
            <w:i w:val="false"/>
            <w:color w:val="0000ff"/>
            <w:sz w:val="22"/>
            <w:u w:val="single"/>
          </w:rPr>
          <w:t>33.209 Suspected fraudulent claims.</w:t>
        </w:r>
      </w:hyperlink>
    </w:p>
    <w:p>
      <w:pPr>
        <w:spacing w:after="0"/>
        <w:jc w:val="left"/>
        <w:ind w:left="1440" w:hanging="360"/>
      </w:pPr>
      <w:hyperlink w:anchor="DLAD_33_211">
        <w:r>
          <w:rPr>
            <w:rStyle w:val="Hyperlink"/>
            <w:rFonts w:ascii="Times New Roman" w:hAnsi="Times New Roman"/>
            <w:b w:val="false"/>
            <w:i w:val="false"/>
            <w:color w:val="0000ff"/>
            <w:sz w:val="22"/>
            <w:u w:val="single"/>
          </w:rPr>
          <w:t>33.211 Contracting officer’s decision.</w:t>
        </w:r>
      </w:hyperlink>
    </w:p>
    <w:p>
      <w:pPr>
        <w:spacing w:after="0"/>
        <w:jc w:val="left"/>
        <w:ind w:left="1440" w:hanging="360"/>
      </w:pPr>
      <w:hyperlink w:anchor="DLAD_33_212">
        <w:r>
          <w:rPr>
            <w:rStyle w:val="Hyperlink"/>
            <w:rFonts w:ascii="Times New Roman" w:hAnsi="Times New Roman"/>
            <w:b w:val="false"/>
            <w:i w:val="false"/>
            <w:color w:val="0000ff"/>
            <w:sz w:val="22"/>
            <w:u w:val="single"/>
          </w:rPr>
          <w:t>33.212 Contracting officer’s duties upon appeal.</w:t>
        </w:r>
      </w:hyperlink>
    </w:p>
    <w:p>
      <w:pPr>
        <w:spacing w:after="0"/>
        <w:jc w:val="left"/>
        <w:ind w:left="1440" w:hanging="360"/>
      </w:pPr>
      <w:hyperlink w:anchor="DLAD_33_214">
        <w:r>
          <w:rPr>
            <w:rStyle w:val="Hyperlink"/>
            <w:rFonts w:ascii="Times New Roman" w:hAnsi="Times New Roman"/>
            <w:b w:val="false"/>
            <w:i w:val="false"/>
            <w:color w:val="0000ff"/>
            <w:sz w:val="22"/>
            <w:u w:val="single"/>
          </w:rPr>
          <w:t>33.214 Alternative dispute resolution (ADR).</w:t>
        </w:r>
      </w:hyperlink>
    </w:p>
    <!-- Created by docx4j 6.1.2 (Apache licensed) using REFERENCE JAXB in Oracle Java 15 on Linux -->
    <w:p>
      <w:pPr>
        <w:pStyle w:val="Heading2"/>
        <w:spacing w:after="180"/>
        <w:ind w:left="120"/>
        <w:jc w:val="center"/>
      </w:pPr>
      <w:bookmarkStart w:name="DLAD_SUBPART_33_1" w:id="1"/>
      <w:r>
        <w:rPr>
          <w:rFonts w:ascii="Times New Roman" w:hAnsi="Times New Roman"/>
          <w:color w:val="000000"/>
          <w:sz w:val="36"/>
        </w:rPr>
        <w:t>SUBPART 33.1</w:t>
      </w:r>
      <w:r>
        <w:rPr>
          <w:rFonts w:ascii="Times New Roman" w:hAnsi="Times New Roman"/>
          <w:color w:val="000000"/>
          <w:sz w:val="36"/>
        </w:rPr>
        <w:t xml:space="preserve"> – PROTESTS</w:t>
      </w:r>
      <w:bookmarkEnd w:id="1"/>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2017-04)</w:t>
      </w:r>
    </w:p>
    <!-- Created by docx4j 6.1.2 (Apache licensed) using REFERENCE JAXB in Oracle Java 15 on Linux -->
    <w:p>
      <w:pPr>
        <w:pStyle w:val="Heading3"/>
        <w:spacing w:after="199"/>
        <w:ind w:left="120"/>
        <w:jc w:val="left"/>
      </w:pPr>
      <w:bookmarkStart w:name="DLAD_33_103" w:id="2"/>
      <w:r>
        <w:rPr>
          <w:rFonts w:ascii="Times New Roman" w:hAnsi="Times New Roman"/>
          <w:color w:val="000000"/>
          <w:sz w:val="31"/>
        </w:rPr>
        <w:t>33.103</w:t>
      </w:r>
      <w:r>
        <w:rPr>
          <w:rFonts w:ascii="Times New Roman" w:hAnsi="Times New Roman"/>
          <w:color w:val="000000"/>
          <w:sz w:val="31"/>
        </w:rPr>
        <w:t xml:space="preserve"> Protests to the agency.</w:t>
      </w:r>
      <w:bookmarkEnd w:id="2"/>
    </w:p>
    <w:p>
      <w:pPr>
        <w:pBdr>
          <w:top w:space="5"/>
          <w:left w:space="5"/>
          <w:bottom w:space="5"/>
          <w:right w:space="5"/>
        </w:pBdr>
        <w:spacing w:after="0"/>
        <w:ind w:left="225"/>
        <w:jc w:val="left"/>
      </w:pPr>
      <w:r>
        <w:rPr>
          <w:rFonts w:ascii="Times New Roman" w:hAnsi="Times New Roman"/>
          <w:b w:val="false"/>
          <w:i w:val="false"/>
          <w:color w:val="000000"/>
          <w:sz w:val="22"/>
        </w:rPr>
        <w:t>(c) Procuring organizations shall consider using Alternative Dispute Resolution (ADR) techniques in resolving agency level protests.</w:t>
      </w:r>
    </w:p>
    <w:p>
      <w:pPr>
        <w:pBdr>
          <w:top w:space="5"/>
          <w:left w:space="5"/>
          <w:bottom w:space="5"/>
          <w:right w:space="5"/>
        </w:pBdr>
        <w:spacing w:after="0"/>
        <w:ind w:left="225"/>
        <w:jc w:val="left"/>
      </w:pPr>
      <w:r>
        <w:rPr>
          <w:rFonts w:ascii="Times New Roman" w:hAnsi="Times New Roman"/>
          <w:b w:val="false"/>
          <w:i w:val="false"/>
          <w:color w:val="000000"/>
          <w:sz w:val="22"/>
        </w:rPr>
        <w:t>(d)(4) Protesters may submit a protest to the contracting officer or may request an independent review by the CCO under the authority of Executive Order (EO) Number 12979, Agency Procurement Protests, as implemented by FAR 33.103(d). The CCO’s authority may not be delegated. If the CCO had previous personal involvement with the procurement, the decision-maker shall be the HCA. All protest decisions require legal review. Solicitations must include procurement note L06 or language substantially as follows:</w:t>
      </w:r>
    </w:p>
    <w:p>
      <w:pPr>
        <w:pBdr>
          <w:top w:space="5"/>
          <w:left w:space="5"/>
          <w:bottom w:space="5"/>
          <w:right w:space="5"/>
        </w:pBdr>
        <w:spacing w:after="0"/>
        <w:ind w:left="225"/>
        <w:jc w:val="left"/>
      </w:pPr>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L06 Agency Protests (DEC 2016)</w:t>
      </w:r>
    </w:p>
    <w:p>
      <w:pPr>
        <w:pBdr>
          <w:top w:space="5"/>
          <w:left w:space="5"/>
          <w:bottom w:space="5"/>
          <w:right w:space="5"/>
        </w:pBdr>
        <w:spacing w:after="0"/>
        <w:ind w:left="225"/>
        <w:jc w:val="left"/>
      </w:pPr>
      <w:r>
        <w:rPr>
          <w:rFonts w:ascii="Times New Roman" w:hAnsi="Times New Roman"/>
          <w:b w:val="false"/>
          <w:i w:val="false"/>
          <w:color w:val="000000"/>
          <w:sz w:val="22"/>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3_104" w:id="3"/>
      <w:r>
        <w:rPr>
          <w:rFonts w:ascii="Times New Roman" w:hAnsi="Times New Roman"/>
          <w:color w:val="000000"/>
          <w:sz w:val="31"/>
        </w:rPr>
        <w:t>33.104</w:t>
      </w:r>
      <w:r>
        <w:rPr>
          <w:rFonts w:ascii="Times New Roman" w:hAnsi="Times New Roman"/>
          <w:color w:val="000000"/>
          <w:sz w:val="31"/>
        </w:rPr>
        <w:t xml:space="preserve"> Protests to GAO.</w:t>
      </w:r>
      <w:bookmarkEnd w:id="3"/>
    </w:p>
    <w:p>
      <w:pPr>
        <w:pBdr>
          <w:top w:space="5"/>
          <w:left w:space="5"/>
          <w:bottom w:space="5"/>
          <w:right w:space="5"/>
        </w:pBdr>
        <w:spacing w:after="0"/>
        <w:ind w:left="225"/>
        <w:jc w:val="left"/>
      </w:pPr>
      <w:r>
        <w:rPr>
          <w:rFonts w:ascii="Times New Roman" w:hAnsi="Times New Roman"/>
          <w:b w:val="false"/>
          <w:i w:val="false"/>
          <w:color w:val="000000"/>
          <w:sz w:val="22"/>
        </w:rPr>
        <w:t>(a) General procedures.</w:t>
      </w:r>
    </w:p>
    <w:p>
      <w:pPr>
        <w:pBdr>
          <w:top w:space="5"/>
          <w:left w:space="5"/>
          <w:bottom w:space="5"/>
          <w:right w:space="5"/>
        </w:pBdr>
        <w:spacing w:after="0"/>
        <w:ind w:left="585"/>
        <w:jc w:val="left"/>
      </w:pPr>
      <w:r>
        <w:rPr>
          <w:rFonts w:ascii="Times New Roman" w:hAnsi="Times New Roman"/>
          <w:b w:val="false"/>
          <w:i w:val="false"/>
          <w:color w:val="000000"/>
          <w:sz w:val="22"/>
        </w:rPr>
        <w:t>(2) 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pPr>
        <w:pBdr>
          <w:top w:space="5"/>
          <w:left w:space="5"/>
          <w:bottom w:space="5"/>
          <w:right w:space="5"/>
        </w:pBdr>
        <w:spacing w:after="0"/>
        <w:ind w:left="585"/>
        <w:jc w:val="left"/>
      </w:pPr>
      <w:r>
        <w:rPr>
          <w:rFonts w:ascii="Times New Roman" w:hAnsi="Times New Roman"/>
          <w:b w:val="false"/>
          <w:i w:val="false"/>
          <w:color w:val="000000"/>
          <w:sz w:val="22"/>
        </w:rPr>
        <w:t>(3)(i) The contracting officer and assigned attorney should review the protest for possible corrective action or disposition using Alternative Dispute Resolution (ADR). For protests not resolved through corrective action or ADR, the assigned attorney provides appropriate representation, including submission of the agency report and documents required by FAR 33.104(a)(3). The agency report is prepared by the assigned attorney with close coordination with the contracting officer and will be signed by both the contracting officer and the assigned attorney. Letters transmitting agency reports to GAO must be signed by the procuring organization’s Chief Counsel.</w:t>
      </w:r>
    </w:p>
    <w:p>
      <w:pPr>
        <w:pBdr>
          <w:top w:space="5"/>
          <w:left w:space="5"/>
          <w:bottom w:space="5"/>
          <w:right w:space="5"/>
        </w:pBdr>
        <w:spacing w:after="0"/>
        <w:ind w:left="225"/>
        <w:jc w:val="left"/>
      </w:pPr>
      <w:r>
        <w:rPr>
          <w:rFonts w:ascii="Times New Roman" w:hAnsi="Times New Roman"/>
          <w:b w:val="false"/>
          <w:i w:val="false"/>
          <w:color w:val="000000"/>
          <w:sz w:val="22"/>
        </w:rPr>
        <w:t>(b) Protests before award.</w:t>
      </w:r>
    </w:p>
    <w:p>
      <w:pPr>
        <w:pBdr>
          <w:top w:space="5"/>
          <w:left w:space="5"/>
          <w:bottom w:space="5"/>
          <w:right w:space="5"/>
        </w:pBdr>
        <w:spacing w:after="0"/>
        <w:ind w:left="585"/>
        <w:jc w:val="left"/>
      </w:pPr>
      <w:r>
        <w:rPr>
          <w:rFonts w:ascii="Times New Roman" w:hAnsi="Times New Roman"/>
          <w:b w:val="false"/>
          <w:i w:val="false"/>
          <w:color w:val="000000"/>
          <w:sz w:val="22"/>
        </w:rPr>
        <w:t>(1) 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w:pPr>
        <w:pBdr>
          <w:top w:space="5"/>
          <w:left w:space="5"/>
          <w:bottom w:space="5"/>
          <w:right w:space="5"/>
        </w:pBdr>
        <w:spacing w:after="0"/>
        <w:ind w:left="585"/>
        <w:jc w:val="left"/>
      </w:pPr>
      <w:r>
        <w:rPr>
          <w:rFonts w:ascii="Times New Roman" w:hAnsi="Times New Roman"/>
          <w:b w:val="false"/>
          <w:i w:val="false"/>
          <w:color w:val="000000"/>
          <w:sz w:val="22"/>
        </w:rPr>
        <w:t>(2) Before award of the contract, the assigned attorney will notify GAO of the finding.</w:t>
      </w:r>
    </w:p>
    <w:p>
      <w:pPr>
        <w:pBdr>
          <w:top w:space="5"/>
          <w:left w:space="5"/>
          <w:bottom w:space="5"/>
          <w:right w:space="5"/>
        </w:pBdr>
        <w:spacing w:after="0"/>
        <w:ind w:left="225"/>
        <w:jc w:val="left"/>
      </w:pPr>
      <w:r>
        <w:rPr>
          <w:rFonts w:ascii="Times New Roman" w:hAnsi="Times New Roman"/>
          <w:b w:val="false"/>
          <w:i w:val="false"/>
          <w:color w:val="000000"/>
          <w:sz w:val="22"/>
        </w:rPr>
        <w:t>(c) Protests after award.</w:t>
      </w:r>
    </w:p>
    <w:p>
      <w:pPr>
        <w:pBdr>
          <w:top w:space="5"/>
          <w:left w:space="5"/>
          <w:bottom w:space="5"/>
          <w:right w:space="5"/>
        </w:pBdr>
        <w:spacing w:after="0"/>
        <w:ind w:left="585"/>
        <w:jc w:val="left"/>
      </w:pPr>
      <w:r>
        <w:rPr>
          <w:rFonts w:ascii="Times New Roman" w:hAnsi="Times New Roman"/>
          <w:b w:val="false"/>
          <w:i w:val="false"/>
          <w:color w:val="000000"/>
          <w:sz w:val="22"/>
        </w:rPr>
        <w:t>(2) If the HCA determines it is necessary to continue contract performance after receipt of a notice from GAO that a protest has been filed, the HCA, with coordination by the procuring organization’s Office of Counsel, shall make the written finding. The Office of Counsel must send a copy of the finding to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w:pPr>
        <w:pBdr>
          <w:top w:space="5"/>
          <w:left w:space="5"/>
          <w:bottom w:space="5"/>
          <w:right w:space="5"/>
        </w:pBdr>
        <w:spacing w:after="0"/>
        <w:ind w:left="585"/>
        <w:jc w:val="left"/>
      </w:pPr>
      <w:r>
        <w:rPr>
          <w:rFonts w:ascii="Times New Roman" w:hAnsi="Times New Roman"/>
          <w:b w:val="false"/>
          <w:i w:val="false"/>
          <w:color w:val="000000"/>
          <w:sz w:val="22"/>
        </w:rPr>
        <w:t>(3) Before the procuring organization lifts the stop work order or performance is otherwise continued, the assigned attorney will notify GAO of the finding.</w:t>
      </w:r>
    </w:p>
    <w:p>
      <w:pPr>
        <w:pBdr>
          <w:top w:space="5"/>
          <w:left w:space="5"/>
          <w:bottom w:space="5"/>
          <w:right w:space="5"/>
        </w:pBdr>
        <w:spacing w:after="0"/>
        <w:ind w:left="225"/>
        <w:jc w:val="left"/>
      </w:pPr>
      <w:r>
        <w:rPr>
          <w:rFonts w:ascii="Times New Roman" w:hAnsi="Times New Roman"/>
          <w:b w:val="false"/>
          <w:i w:val="false"/>
          <w:color w:val="000000"/>
          <w:sz w:val="22"/>
        </w:rPr>
        <w:t>(g) Notice to GAO.</w:t>
      </w:r>
    </w:p>
    <w:p>
      <w:pPr>
        <w:pStyle w:val="Normal"/>
        <w:pBdr>
          <w:top w:space="5"/>
          <w:left w:space="5"/>
          <w:bottom w:space="5"/>
          <w:right w:space="5"/>
        </w:pBdr>
        <w:spacing w:after="0"/>
        <w:ind w:left="225"/>
        <w:jc w:val="left"/>
      </w:pPr>
      <w:r>
        <w:rPr>
          <w:rFonts w:ascii="Times New Roman" w:hAnsi="Times New Roman"/>
          <w:color w:val="000000"/>
        </w:rPr>
        <w:t>In a sustained protest, a decision not to follow the GAO recommendation requires approval by the DLA Acquisition Director and coordination with the Office of General Counsel.</w:t>
      </w:r>
    </w:p>
    <w:p>
      <w:pPr>
        <w:pBdr>
          <w:top w:space="5"/>
          <w:left w:space="5"/>
          <w:bottom w:space="5"/>
          <w:right w:space="5"/>
        </w:pBdr>
        <w:spacing w:after="0"/>
        <w:ind w:left="225"/>
        <w:jc w:val="left"/>
      </w:pPr>
      <w:r>
        <w:rPr>
          <w:rFonts w:ascii="Times New Roman" w:hAnsi="Times New Roman"/>
          <w:b w:val="false"/>
          <w:i w:val="false"/>
          <w:color w:val="000000"/>
          <w:sz w:val="22"/>
        </w:rPr>
        <w:t>(h) Award of costs.</w:t>
      </w:r>
    </w:p>
    <w:p>
      <w:pPr>
        <w:pStyle w:val="Normal"/>
        <w:pBdr>
          <w:top w:space="5"/>
          <w:left w:space="5"/>
          <w:bottom w:space="5"/>
          <w:right w:space="5"/>
        </w:pBdr>
        <w:spacing w:after="0"/>
        <w:ind w:left="225"/>
        <w:jc w:val="left"/>
      </w:pPr>
      <w:r>
        <w:rPr>
          <w:rFonts w:ascii="Times New Roman" w:hAnsi="Times New Roman"/>
          <w:color w:val="000000"/>
        </w:rPr>
        <w:t>The authority and responsibility for resolving claims for protest costs is delegated to Chief Counsel at the procuring organizations DLA Energy, DLA Land and Maritime, DLA Aviation, DLA Troop Support, DLA Disposition Services, and DLA Distribution. This authority may not be redelegated. All decisions resolving claims for protest costs require concurrence of the contracting officer.</w:t>
      </w:r>
    </w:p>
    <w:p>
      <w:pPr>
        <w:pStyle w:val="Normal"/>
        <w:pBdr>
          <w:top w:space="5"/>
          <w:left w:space="5"/>
          <w:bottom w:space="5"/>
          <w:right w:space="5"/>
        </w:pBdr>
        <w:spacing w:after="0"/>
        <w:ind w:left="225"/>
        <w:jc w:val="left"/>
      </w:pPr>
      <w:r>
        <w:rPr>
          <w:rFonts w:ascii="Times New Roman" w:hAnsi="Times New Roman"/>
          <w:color w:val="000000"/>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pPr>
        <w:pStyle w:val="Normal"/>
        <w:pBdr>
          <w:top w:space="5"/>
          <w:left w:space="5"/>
          <w:bottom w:space="5"/>
          <w:right w:space="5"/>
        </w:pBdr>
        <w:spacing w:after="0"/>
        <w:ind w:left="225"/>
        <w:jc w:val="left"/>
      </w:pPr>
      <w:r>
        <w:rPr>
          <w:rFonts w:ascii="Times New Roman" w:hAnsi="Times New Roman"/>
          <w:color w:val="000000"/>
        </w:rPr>
        <w:t>Offices of Counsel that have not been delegated the authority to settle claims for protest costs shall forward requests for protest costs, attorney fees, and bid or proposal preparation costs to the Office of General Counsel. The Office of General Counsel is responsible for disposition of these claims.</w:t>
      </w:r>
    </w:p>
    <!-- Created by docx4j 6.1.2 (Apache licensed) using REFERENCE JAXB in Oracle Java 15 on Linux -->
    <w:p>
      <w:pPr>
        <w:pStyle w:val="Heading2"/>
        <w:spacing w:after="180"/>
        <w:ind w:left="120"/>
        <w:jc w:val="center"/>
      </w:pPr>
      <w:bookmarkStart w:name="DLAD_SUBPART_33_2" w:id="4"/>
      <w:r>
        <w:rPr>
          <w:rFonts w:ascii="Times New Roman" w:hAnsi="Times New Roman"/>
          <w:color w:val="000000"/>
          <w:sz w:val="36"/>
        </w:rPr>
        <w:t>SUBPART 33.2</w:t>
      </w:r>
      <w:r>
        <w:rPr>
          <w:rFonts w:ascii="Times New Roman" w:hAnsi="Times New Roman"/>
          <w:color w:val="000000"/>
          <w:sz w:val="36"/>
        </w:rPr>
        <w:t xml:space="preserve"> – DISPUTES AND APPEALS</w:t>
      </w:r>
      <w:bookmarkEnd w:id="4"/>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2017-04)</w:t>
      </w:r>
    </w:p>
    <!-- Created by docx4j 6.1.2 (Apache licensed) using REFERENCE JAXB in Oracle Java 15 on Linux -->
    <w:p>
      <w:pPr>
        <w:pStyle w:val="Heading3"/>
        <w:spacing w:after="199"/>
        <w:ind w:left="120"/>
        <w:jc w:val="left"/>
      </w:pPr>
      <w:bookmarkStart w:name="DLAD_33_209" w:id="5"/>
      <w:r>
        <w:rPr>
          <w:rFonts w:ascii="Times New Roman" w:hAnsi="Times New Roman"/>
          <w:color w:val="000000"/>
          <w:sz w:val="31"/>
        </w:rPr>
        <w:t>33.209</w:t>
      </w:r>
      <w:r>
        <w:rPr>
          <w:rFonts w:ascii="Times New Roman" w:hAnsi="Times New Roman"/>
          <w:color w:val="000000"/>
          <w:sz w:val="31"/>
        </w:rPr>
        <w:t xml:space="preserve"> Suspected fraudulent claims.</w:t>
      </w:r>
      <w:bookmarkEnd w:id="5"/>
    </w:p>
    <w:p>
      <w:pPr>
        <w:pStyle w:val="Normal"/>
        <w:pBdr>
          <w:top w:space="5"/>
          <w:left w:space="5"/>
          <w:bottom w:space="5"/>
          <w:right w:space="5"/>
        </w:pBdr>
        <w:spacing w:after="0"/>
        <w:ind w:left="225"/>
        <w:jc w:val="left"/>
      </w:pPr>
      <w:r>
        <w:rPr>
          <w:rFonts w:ascii="Times New Roman" w:hAnsi="Times New Roman"/>
          <w:color w:val="000000"/>
        </w:rPr>
        <w:t>Referrals shall be made to procuring organization Office of Counsel for appropriate action.</w:t>
      </w:r>
    </w:p>
    <!-- Created by docx4j 6.1.2 (Apache licensed) using REFERENCE JAXB in Oracle Java 15 on Linux -->
    <w:p>
      <w:pPr>
        <w:pStyle w:val="Heading3"/>
        <w:spacing w:after="199"/>
        <w:ind w:left="120"/>
        <w:jc w:val="left"/>
      </w:pPr>
      <w:bookmarkStart w:name="DLAD_33_211" w:id="6"/>
      <w:r>
        <w:rPr>
          <w:rFonts w:ascii="Times New Roman" w:hAnsi="Times New Roman"/>
          <w:color w:val="000000"/>
          <w:sz w:val="31"/>
        </w:rPr>
        <w:t>33.211</w:t>
      </w:r>
      <w:r>
        <w:rPr>
          <w:rFonts w:ascii="Times New Roman" w:hAnsi="Times New Roman"/>
          <w:color w:val="000000"/>
          <w:sz w:val="31"/>
        </w:rPr>
        <w:t xml:space="preserve"> Contracting officer’s decision.</w:t>
      </w:r>
      <w:bookmarkEnd w:id="6"/>
    </w:p>
    <w:p>
      <w:pPr>
        <w:pBdr>
          <w:top w:space="5"/>
          <w:left w:space="5"/>
          <w:bottom w:space="5"/>
          <w:right w:space="5"/>
        </w:pBdr>
        <w:spacing w:after="0"/>
        <w:ind w:left="225"/>
        <w:jc w:val="left"/>
      </w:pPr>
      <w:r>
        <w:rPr>
          <w:rFonts w:ascii="Times New Roman" w:hAnsi="Times New Roman"/>
          <w:b w:val="false"/>
          <w:i w:val="false"/>
          <w:color w:val="000000"/>
          <w:sz w:val="22"/>
        </w:rP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 Created by docx4j 6.1.2 (Apache licensed) using REFERENCE JAXB in Oracle Java 15 on Linux -->
    <w:p>
      <w:pPr>
        <w:pStyle w:val="Heading3"/>
        <w:spacing w:after="199"/>
        <w:ind w:left="120"/>
        <w:jc w:val="left"/>
      </w:pPr>
      <w:bookmarkStart w:name="DLAD_33_212" w:id="7"/>
      <w:r>
        <w:rPr>
          <w:rFonts w:ascii="Times New Roman" w:hAnsi="Times New Roman"/>
          <w:color w:val="000000"/>
          <w:sz w:val="31"/>
        </w:rPr>
        <w:t>33.212</w:t>
      </w:r>
      <w:r>
        <w:rPr>
          <w:rFonts w:ascii="Times New Roman" w:hAnsi="Times New Roman"/>
          <w:color w:val="000000"/>
          <w:sz w:val="31"/>
        </w:rPr>
        <w:t xml:space="preserve"> Contracting officer’s duties upon appeal.</w:t>
      </w:r>
      <w:bookmarkEnd w:id="7"/>
    </w:p>
    <w:p>
      <w:pPr>
        <w:pBdr>
          <w:top w:space="5"/>
          <w:left w:space="5"/>
          <w:bottom w:space="5"/>
          <w:right w:space="5"/>
        </w:pBdr>
        <w:spacing w:after="0"/>
        <w:ind w:left="225"/>
        <w:jc w:val="left"/>
      </w:pPr>
      <w:r>
        <w:rPr>
          <w:rFonts w:ascii="Times New Roman" w:hAnsi="Times New Roman"/>
          <w:b w:val="false"/>
          <w:i w:val="false"/>
          <w:color w:val="000000"/>
          <w:sz w:val="22"/>
        </w:rPr>
        <w:t>Notices of appeal to the Armed Services Board of Contract Appeals (ASBCA) that are submitted directly to the contracting officer shall be forwarded immediately to the procuring organization Office of Counsel for further re-transmission to the ASBCA.</w:t>
      </w:r>
    </w:p>
    <w:p>
      <w:pPr>
        <w:pStyle w:val="Normal"/>
        <w:pBdr>
          <w:top w:space="5"/>
          <w:left w:space="5"/>
          <w:bottom w:space="5"/>
          <w:right w:space="5"/>
        </w:pBdr>
        <w:spacing w:after="0"/>
        <w:ind w:left="225"/>
        <w:jc w:val="left"/>
      </w:pPr>
      <w:r>
        <w:rPr>
          <w:rFonts w:ascii="Times New Roman" w:hAnsi="Times New Roman"/>
          <w:color w:val="000000"/>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 Created by docx4j 6.1.2 (Apache licensed) using REFERENCE JAXB in Oracle Java 15 on Linux -->
    <w:p>
      <w:pPr>
        <w:pStyle w:val="Heading3"/>
        <w:spacing w:after="199"/>
        <w:ind w:left="120"/>
        <w:jc w:val="left"/>
      </w:pPr>
      <w:bookmarkStart w:name="DLAD_33_214" w:id="8"/>
      <w:r>
        <w:rPr>
          <w:rFonts w:ascii="Times New Roman" w:hAnsi="Times New Roman"/>
          <w:color w:val="000000"/>
          <w:sz w:val="31"/>
        </w:rPr>
        <w:t>33.214</w:t>
      </w:r>
      <w:r>
        <w:rPr>
          <w:rFonts w:ascii="Times New Roman" w:hAnsi="Times New Roman"/>
          <w:color w:val="000000"/>
          <w:sz w:val="31"/>
        </w:rPr>
        <w:t xml:space="preserve"> Alternative dispute resolution (ADR).</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provision at </w:t>
      </w:r>
      <w:hyperlink w:anchor="DLAD_5452_233-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5452.233-9001</w:t>
        </w:r>
      </w:hyperlink>
      <w:r>
        <w:rPr>
          <w:rFonts w:ascii="Times New Roman" w:hAnsi="Times New Roman"/>
          <w:b w:val="false"/>
          <w:i w:val="false"/>
          <w:color w:val="000000"/>
          <w:sz w:val="22"/>
        </w:rPr>
        <w:t xml:space="preserve"> in all solicitations unless the conditions at FAR 33.203(b) apply.</w:t>
      </w:r>
    </w:p>
    <w:sectPr>
      <w:pgSz w:w="12240" w:h="15840" w:code="1"/>
      <w:pgMar w:top="1440" w:right="1440" w:bottom="1440" w:left="1440"/>
      <w:pgNumType w:start="1"/>
      <w:footerReference w:type="default" r:id="R2d7d3948760d495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d7d3948760d495f" /><Relationship Type="http://schemas.openxmlformats.org/officeDocument/2006/relationships/hyperlink" Target="SUBPART_33.1.dita#DLAD_SUBPART_33_1" TargetMode="External" Id="R68ffa0fa4434485f" /><Relationship Type="http://schemas.openxmlformats.org/officeDocument/2006/relationships/hyperlink" Target="33.103.dita#DLAD_33_103" TargetMode="External" Id="Rfa279c8297734b46" /><Relationship Type="http://schemas.openxmlformats.org/officeDocument/2006/relationships/hyperlink" Target="33.104.dita#DLAD_33_104" TargetMode="External" Id="R23132267198642f5" /><Relationship Type="http://schemas.openxmlformats.org/officeDocument/2006/relationships/hyperlink" Target="SUBPART_33.2.dita#DLAD_SUBPART_33_2" TargetMode="External" Id="R7f12f334bd964975" /><Relationship Type="http://schemas.openxmlformats.org/officeDocument/2006/relationships/hyperlink" Target="33.209.dita#DLAD_33_209" TargetMode="External" Id="Rc79da5ac30654b82" /><Relationship Type="http://schemas.openxmlformats.org/officeDocument/2006/relationships/hyperlink" Target="33.211.dita#DLAD_33_211" TargetMode="External" Id="R4286003afc6d4af1" /><Relationship Type="http://schemas.openxmlformats.org/officeDocument/2006/relationships/hyperlink" Target="33.212.dita#DLAD_33_212" TargetMode="External" Id="Rb091cbf3bd934622" /><Relationship Type="http://schemas.openxmlformats.org/officeDocument/2006/relationships/hyperlink" Target="33.214.dita#DLAD_33_214" TargetMode="External" Id="Rcb6223742c1747fc" /><Relationship Type="http://schemas.openxmlformats.org/officeDocument/2006/relationships/hyperlink" Target="5452.233-9001.dita#DLAD_5452_233-9001" TargetMode="External" Id="R1bedd4019c9d474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