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4" w:id="0"/>
      <w:r>
        <w:rPr>
          <w:rFonts w:ascii="Times New Roman" w:hAnsi="Times New Roman"/>
          <w:color w:val="000000"/>
        </w:rPr>
        <w:t>PART 34</w:t>
      </w:r>
      <w:r>
        <w:rPr>
          <w:rFonts w:ascii="Times New Roman" w:hAnsi="Times New Roman"/>
          <w:color w:val="000000"/>
        </w:rPr>
        <w:t xml:space="preserve"> – MAJOR SYSTEM ACQUISITION</w:t>
      </w:r>
      <w:bookmarkEnd w:id="0"/>
    </w:p>
    <w:p>
      <w:pPr>
        <w:spacing w:after="0"/>
        <w:jc w:val="left"/>
        <w:ind w:left="720" w:hanging="360"/>
      </w:pPr>
      <w:hyperlink w:anchor="DLAD_34">
        <w:r>
          <w:rPr>
            <w:rStyle w:val="Hyperlink"/>
            <w:rFonts w:ascii="Times New Roman" w:hAnsi="Times New Roman"/>
            <w:b w:val="false"/>
            <w:i w:val="false"/>
            <w:color w:val="0000ff"/>
            <w:sz w:val="22"/>
            <w:u w:val="single"/>
          </w:rPr>
          <w:t>SUBPART 34.71 – COST AND SOFTWARE DATA REPORTING</w:t>
        </w:r>
      </w:hyperlink>
    </w:p>
    <w:p>
      <w:pPr>
        <w:spacing w:after="0"/>
        <w:jc w:val="left"/>
        <w:ind w:left="1440" w:hanging="360"/>
      </w:pPr>
      <w:hyperlink w:anchor="DLAD_34_7101">
        <w:r>
          <w:rPr>
            <w:rStyle w:val="Hyperlink"/>
            <w:rFonts w:ascii="Times New Roman" w:hAnsi="Times New Roman"/>
            <w:b w:val="false"/>
            <w:i w:val="false"/>
            <w:color w:val="0000ff"/>
            <w:sz w:val="22"/>
            <w:u w:val="single"/>
          </w:rPr>
          <w:t>34.7101 Solicitation provision and contract clause.</w:t>
        </w:r>
      </w:hyperlink>
    </w:p>
    <!-- Created by docx4j 6.1.2 (Apache licensed) using REFERENCE JAXB in Oracle Java 15 on Linux -->
    <w:p>
      <w:pPr>
        <w:pStyle w:val="Heading2"/>
        <w:spacing w:after="180"/>
        <w:ind w:left="120"/>
        <w:jc w:val="center"/>
      </w:pPr>
      <w:bookmarkStart w:name="DLAD_34" w:id="1"/>
      <w:r>
        <w:rPr>
          <w:rFonts w:ascii="Times New Roman" w:hAnsi="Times New Roman"/>
          <w:color w:val="000000"/>
          <w:sz w:val="36"/>
        </w:rPr>
        <w:t>SUBPART 34.71</w:t>
      </w:r>
      <w:r>
        <w:rPr>
          <w:rFonts w:ascii="Times New Roman" w:hAnsi="Times New Roman"/>
          <w:color w:val="000000"/>
          <w:sz w:val="36"/>
        </w:rPr>
        <w:t xml:space="preserve"> – COST AND SOFTWARE DATA REPORTING</w:t>
      </w:r>
      <w:bookmarkEnd w:id="1"/>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2020-05)</w:t>
      </w:r>
    </w:p>
    <!-- Created by docx4j 6.1.2 (Apache licensed) using REFERENCE JAXB in Oracle Java 15 on Linux -->
    <w:p>
      <w:pPr>
        <w:pStyle w:val="Heading3"/>
        <w:spacing w:after="199"/>
        <w:ind w:left="120"/>
        <w:jc w:val="left"/>
      </w:pPr>
      <w:bookmarkStart w:name="DLAD_34_7101" w:id="2"/>
      <w:r>
        <w:rPr>
          <w:rFonts w:ascii="Times New Roman" w:hAnsi="Times New Roman"/>
          <w:color w:val="000000"/>
          <w:sz w:val="31"/>
        </w:rPr>
        <w:t>34.7101</w:t>
      </w:r>
      <w:r>
        <w:rPr>
          <w:rFonts w:ascii="Times New Roman" w:hAnsi="Times New Roman"/>
          <w:color w:val="000000"/>
          <w:sz w:val="31"/>
        </w:rPr>
        <w:t xml:space="preserve"> Solicitation provision and contract clause.</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48ce6c802b5b41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Assessment Data Enterprise (CADE) Cost and Sortware Data Reporting (CSDR) Policies</w:t>
        </w:r>
      </w:hyperlink>
      <w:r>
        <w:rPr>
          <w:rFonts w:ascii="Times New Roman" w:hAnsi="Times New Roman"/>
          <w:b w:val="false"/>
          <w:i w:val="false"/>
          <w:color w:val="000000"/>
          <w:sz w:val="22"/>
        </w:rPr>
        <w:t xml:space="preserve"> (</w:t>
      </w:r>
      <w:hyperlink r:id="R6bea6815d4e944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https://cade.osd.mil/policy/csdr-timeline</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 In accordance with DoD Manual 5000.04-M-1, DDCA has the authority to approve waivers for CSDR requirements. Procuring organizations shall forward requests for waivers to DLA Acquisition Pricing, accompanied by—</w:t>
      </w:r>
    </w:p>
    <w:p>
      <w:pPr>
        <w:pBdr>
          <w:top w:space="5"/>
          <w:left w:space="5"/>
          <w:bottom w:space="5"/>
          <w:right w:space="5"/>
        </w:pBdr>
        <w:spacing w:after="0"/>
        <w:ind w:left="225"/>
        <w:jc w:val="left"/>
      </w:pPr>
      <w:r>
        <w:rPr>
          <w:rFonts w:ascii="Times New Roman" w:hAnsi="Times New Roman"/>
          <w:b w:val="false"/>
          <w:i w:val="false"/>
          <w:color w:val="000000"/>
          <w:sz w:val="22"/>
        </w:rPr>
        <w:t>(i) For commercial acquisitions, a copy of the commercial item determination and a memorandum supporting the rationale for a waiver based on commerciality, both signed by the contracting officer; or</w:t>
      </w:r>
    </w:p>
    <w:p>
      <w:pPr>
        <w:pStyle w:val="Normal"/>
        <w:pBdr>
          <w:top w:space="5"/>
          <w:left w:space="5"/>
          <w:bottom w:space="5"/>
          <w:right w:space="5"/>
        </w:pBdr>
        <w:spacing w:after="0"/>
        <w:ind w:left="225"/>
        <w:jc w:val="left"/>
      </w:pPr>
      <w:r>
        <w:rPr>
          <w:rFonts w:ascii="Times New Roman" w:hAnsi="Times New Roman"/>
          <w:color w:val="000000"/>
        </w:rPr>
        <w:t>(ii) For competitive acquisitions, documentation supporting the basis for the contracting officer’s determination that adequate competition will continue to exist.</w:t>
      </w:r>
    </w:p>
    <w:sectPr>
      <w:pgSz w:w="12240" w:h="15840" w:code="1"/>
      <w:pgMar w:top="1440" w:right="1440" w:bottom="1440" w:left="1440"/>
      <w:pgNumType w:start="1"/>
      <w:footerReference w:type="default" r:id="Rb014c9549f5c4e9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014c9549f5c4e96" /><Relationship Type="http://schemas.openxmlformats.org/officeDocument/2006/relationships/hyperlink" Target="34.71.dita#DLAD_34" TargetMode="External" Id="R93749802c9ca44cb" /><Relationship Type="http://schemas.openxmlformats.org/officeDocument/2006/relationships/hyperlink" Target="34.7101.dita#DLAD_34_7101" TargetMode="External" Id="Rc33fce9cf99947b4" /><Relationship Type="http://schemas.openxmlformats.org/officeDocument/2006/relationships/hyperlink" Target="https://cade.osd.mil/policy/csdr-timeline" TargetMode="External" Id="R48ce6c802b5b41ed" /><Relationship Type="http://schemas.openxmlformats.org/officeDocument/2006/relationships/hyperlink" Target="https://cade.osd.mil/policy/csdr-timeline" TargetMode="External" Id="R6bea6815d4e9446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