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3" w:id="0"/>
      <w:r>
        <w:rPr>
          <w:rFonts w:ascii="Times New Roman" w:hAnsi="Times New Roman"/>
          <w:color w:val="000000"/>
        </w:rPr>
        <w:t>PART 53</w:t>
      </w:r>
      <w:r>
        <w:rPr>
          <w:rFonts w:ascii="Times New Roman" w:hAnsi="Times New Roman"/>
          <w:color w:val="000000"/>
        </w:rPr>
        <w:t xml:space="preserve"> – FORMS</w:t>
      </w:r>
      <w:bookmarkEnd w:id="0"/>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53.9015Contracting by negotiation.</w:t>
        </w:r>
      </w:hyperlink>
    </w:p>
    <!-- Created by docx4j 6.1.2 (Apache licensed) using REFERENCE JAXB in Oracle Java 15 on Linux -->
    <w:p>
      <w:pPr>
        <w:pStyle w:val="Heading2"/>
        <w:spacing w:after="180"/>
        <w:ind w:left="120"/>
        <w:jc w:val="center"/>
      </w:pPr>
      <w:bookmarkStart w:name="DLAD_SUBPART_53_2" w:id="1"/>
      <w:r>
        <w:rPr>
          <w:rFonts w:ascii="Times New Roman" w:hAnsi="Times New Roman"/>
          <w:color w:val="000000"/>
          <w:sz w:val="36"/>
        </w:rPr>
        <w:t>SUBPART 53.2</w:t>
      </w:r>
      <w:r>
        <w:rPr>
          <w:rFonts w:ascii="Times New Roman" w:hAnsi="Times New Roman"/>
          <w:color w:val="000000"/>
          <w:sz w:val="36"/>
        </w:rPr>
        <w:t xml:space="preserve"> – PRESCRIPTION OF FORMS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2"/>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3"/>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3"/>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5"/>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6"/>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7"/>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7"/>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8"/>
      <w:r>
        <w:rPr>
          <w:rFonts w:ascii="Times New Roman" w:hAnsi="Times New Roman"/>
          <w:color w:val="000000"/>
          <w:sz w:val="36"/>
        </w:rPr>
        <w:t>SUBPART 53.3</w:t>
      </w:r>
      <w:r>
        <w:rPr>
          <w:rFonts w:ascii="Times New Roman" w:hAnsi="Times New Roman"/>
          <w:color w:val="000000"/>
          <w:sz w:val="36"/>
        </w:rPr>
        <w:t xml:space="preserve"> – ILLUSTRATION OF FORMS</w:t>
      </w:r>
      <w:bookmarkEnd w:id="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9"/>
      <w:r>
        <w:rPr>
          <w:rFonts w:ascii="Times New Roman" w:hAnsi="Times New Roman"/>
          <w:color w:val="000000"/>
          <w:sz w:val="31"/>
        </w:rPr>
        <w:t>53.300</w:t>
      </w:r>
      <w:r>
        <w:rPr>
          <w:rFonts w:ascii="Times New Roman" w:hAnsi="Times New Roman"/>
          <w:color w:val="000000"/>
          <w:sz w:val="31"/>
        </w:rPr>
        <w:t xml:space="preserve"> General.</w:t>
      </w:r>
      <w:bookmarkEnd w:id="9"/>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92616f1145524b7b">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8b7a38c1a44b4a7a">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10"/>
      <w:r>
        <w:rPr>
          <w:rFonts w:ascii="Times New Roman" w:hAnsi="Times New Roman"/>
          <w:color w:val="000000"/>
          <w:sz w:val="36"/>
        </w:rPr>
        <w:t>SUBPART 53.90</w:t>
      </w:r>
      <w:r>
        <w:rPr>
          <w:rFonts w:ascii="Times New Roman" w:hAnsi="Times New Roman"/>
          <w:color w:val="000000"/>
          <w:sz w:val="36"/>
        </w:rPr>
        <w:t xml:space="preserve"> – FORMATS AND TEMPLATES</w:t>
      </w:r>
      <w:bookmarkEnd w:id="10"/>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11"/>
      <w:r>
        <w:rPr>
          <w:rFonts w:ascii="Times New Roman" w:hAnsi="Times New Roman"/>
          <w:color w:val="000000"/>
          <w:sz w:val="31"/>
        </w:rPr>
        <w:t>53.9001</w:t>
      </w:r>
      <w:r>
        <w:rPr>
          <w:rFonts w:ascii="Times New Roman" w:hAnsi="Times New Roman"/>
          <w:color w:val="000000"/>
          <w:sz w:val="31"/>
        </w:rPr>
        <w:t xml:space="preserve"> Appointment of ordering officer.</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12"/>
      <w:r>
        <w:rPr>
          <w:rFonts w:ascii="Times New Roman" w:hAnsi="Times New Roman"/>
          <w:color w:val="000000"/>
          <w:sz w:val="31"/>
        </w:rPr>
        <w:t>53.9007</w:t>
      </w:r>
      <w:r>
        <w:rPr>
          <w:rFonts w:ascii="Times New Roman" w:hAnsi="Times New Roman"/>
          <w:color w:val="000000"/>
          <w:sz w:val="31"/>
        </w:rPr>
        <w:t xml:space="preserve"> Acquisition planning.</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151e54997f824a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13"/>
      <w:r>
        <w:rPr>
          <w:rFonts w:ascii="Times New Roman" w:hAnsi="Times New Roman"/>
          <w:color w:val="000000"/>
          <w:sz w:val="31"/>
        </w:rPr>
        <w:t>53.9013</w:t>
      </w:r>
      <w:r>
        <w:rPr>
          <w:rFonts w:ascii="Times New Roman" w:hAnsi="Times New Roman"/>
          <w:color w:val="000000"/>
          <w:sz w:val="31"/>
        </w:rPr>
        <w:t xml:space="preserve"> Simplified acquisition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14"/>
      <w:r>
        <w:rPr>
          <w:rFonts w:ascii="Times New Roman" w:hAnsi="Times New Roman"/>
          <w:color w:val="000000"/>
          <w:sz w:val="31"/>
        </w:rPr>
        <w:t>53.9015</w:t>
      </w:r>
      <w:r>
        <w:rPr>
          <w:rFonts w:ascii="Times New Roman" w:hAnsi="Times New Roman"/>
          <w:color w:val="000000"/>
          <w:sz w:val="31"/>
        </w:rPr>
        <w:t>Contracting by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faa2c0d19c7f4c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53b97cc044f74e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42bc1101e0a74c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e770242ac47a48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0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2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f5ef05070aa747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a0d560411e344d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2d0f00d5a83241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5988767de51943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w:sectPr>
      <w:pgSz w:w="12240" w:h="15840" w:code="1"/>
      <w:pgMar w:top="1440" w:right="1440" w:bottom="1440" w:left="1440"/>
      <w:pgNumType w:start="1"/>
      <w:footerReference w:type="default" r:id="R0a3c9261ddb0401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a3c9261ddb04017" /><Relationship Type="http://schemas.openxmlformats.org/officeDocument/2006/relationships/hyperlink" Target="SUBPART_53.2.dita#DLAD_SUBPART_53_2" TargetMode="External" Id="R435e9d14b992486a" /><Relationship Type="http://schemas.openxmlformats.org/officeDocument/2006/relationships/hyperlink" Target="53.213.dita#DLAD_53_213" TargetMode="External" Id="Rb13d7a8e0db64b60" /><Relationship Type="http://schemas.openxmlformats.org/officeDocument/2006/relationships/hyperlink" Target="53.213-90.dita#DLAD_53_213-90" TargetMode="External" Id="Ra188125dbeeb4d10" /><Relationship Type="http://schemas.openxmlformats.org/officeDocument/2006/relationships/hyperlink" Target="53.213-91.dita#DLAD_53_213-91" TargetMode="External" Id="R7f5e4f9a317546d2" /><Relationship Type="http://schemas.openxmlformats.org/officeDocument/2006/relationships/hyperlink" Target="53.213-92.dita#DLAD_53_213-92" TargetMode="External" Id="R63e5fb7333d34c81" /><Relationship Type="http://schemas.openxmlformats.org/officeDocument/2006/relationships/hyperlink" Target="53.219.dita#DLAD_53_219" TargetMode="External" Id="Rd2c0f6baea164ccf" /><Relationship Type="http://schemas.openxmlformats.org/officeDocument/2006/relationships/hyperlink" Target="53.219-90.dita#DLAD_53_219-90" TargetMode="External" Id="R1b2df232f65c461e" /><Relationship Type="http://schemas.openxmlformats.org/officeDocument/2006/relationships/hyperlink" Target="SUBPART_53.3.dita#DLAD_SUBPART_53_3" TargetMode="External" Id="R5f0c4ddc85f34a5d" /><Relationship Type="http://schemas.openxmlformats.org/officeDocument/2006/relationships/hyperlink" Target="53.300.dita#DLAD_53_300" TargetMode="External" Id="Rc5976d5ec6ed4690" /><Relationship Type="http://schemas.openxmlformats.org/officeDocument/2006/relationships/hyperlink" Target="SUBPART_53.90.dita#DLAD_SUBPART_53_90" TargetMode="External" Id="Re1bf45cb0d344a7d" /><Relationship Type="http://schemas.openxmlformats.org/officeDocument/2006/relationships/hyperlink" Target="53.9001.dita#DLAD_53_9001" TargetMode="External" Id="R3760ee1009a44fc5" /><Relationship Type="http://schemas.openxmlformats.org/officeDocument/2006/relationships/hyperlink" Target="53.9007.dita#DLAD_53_9007" TargetMode="External" Id="R6a1e2ad34abd4640" /><Relationship Type="http://schemas.openxmlformats.org/officeDocument/2006/relationships/hyperlink" Target="53.9013.dita#DLAD_53_9013" TargetMode="External" Id="Ra52c7795a83641c5" /><Relationship Type="http://schemas.openxmlformats.org/officeDocument/2006/relationships/hyperlink" Target="53.9015.dita#DLAD_53_9015" TargetMode="External" Id="R4175cfeb9d9b4966" /><Relationship Type="http://schemas.openxmlformats.org/officeDocument/2006/relationships/hyperlink" Target="https://www.dla.mil/Forms/" TargetMode="External" Id="R92616f1145524b7b" /><Relationship Type="http://schemas.openxmlformats.org/officeDocument/2006/relationships/hyperlink" Target="https://www.dla.mil/Forms/" TargetMode="External" Id="R8b7a38c1a44b4a7a" /><Relationship Type="http://schemas.openxmlformats.org/officeDocument/2006/relationships/hyperlink" Target="1.603-3-91.dita#DLAD_1_603-3-91" TargetMode="External" Id="R75c0f0ff030048b3" /><Relationship Type="http://schemas.openxmlformats.org/officeDocument/2006/relationships/hyperlink" Target="7.103.dita#DLAD_7_103" TargetMode="External" Id="R18cf43286255465d" /><Relationship Type="http://schemas.openxmlformats.org/officeDocument/2006/relationships/hyperlink" Target="http://farsite.hill.af.mil/reghtml/regs/far2afmcfars/fardfars/far/06.htm" TargetMode="External" Id="R151e54997f824ac4" /><Relationship Type="http://schemas.openxmlformats.org/officeDocument/2006/relationships/hyperlink" Target="13.106-3.dita#DLAD_13_106-3" TargetMode="External" Id="R6b57aa89969b464e" /><Relationship Type="http://schemas.openxmlformats.org/officeDocument/2006/relationships/hyperlink" Target="13.106-3.dita#DLAD_13_106-3/p_P13_106_3_b" TargetMode="External" Id="Rb6ad7e25b3084c13" /><Relationship Type="http://schemas.openxmlformats.org/officeDocument/2006/relationships/hyperlink" Target="13.501.dita#DLAD_13_501" TargetMode="External" Id="R7c35c036c4934743" /><Relationship Type="http://schemas.openxmlformats.org/officeDocument/2006/relationships/hyperlink" Target="13.501.dita#DLAD_13_501/rer2eB" TargetMode="External" Id="R63b16140ed0649de" /><Relationship Type="http://schemas.openxmlformats.org/officeDocument/2006/relationships/hyperlink" Target="13.501.dita#DLAD_13_501/rre3B3" TargetMode="External" Id="R33ee160cd56e404c" /><Relationship Type="http://schemas.openxmlformats.org/officeDocument/2006/relationships/hyperlink" Target="15.406-1.dita#DLAD_15_406-1" TargetMode="External" Id="R969a98b83d8c4071" /><Relationship Type="http://schemas.openxmlformats.org/officeDocument/2006/relationships/hyperlink" Target="15.406-1.dita#DLAD_15_406-1/fdfdb1" TargetMode="External" Id="R0328e02c91814f41" /><Relationship Type="http://schemas.openxmlformats.org/officeDocument/2006/relationships/hyperlink" Target="15.404-1.dita#DLAD_15_404-1" TargetMode="External" Id="Rc6e74ba12d7047c5" /><Relationship Type="http://schemas.openxmlformats.org/officeDocument/2006/relationships/hyperlink" Target="15.404-1.dita#DLAD_15_404-1/p_P15_404_1_a" TargetMode="External" Id="R13a0c26dd8354e7c" /><Relationship Type="http://schemas.openxmlformats.org/officeDocument/2006/relationships/hyperlink" Target="15.404-1.dita#DLAD_15_404-1/p_P15_404_1_a_5_S90" TargetMode="External" Id="Rcda36129b92a42df" /><Relationship Type="http://schemas.openxmlformats.org/officeDocument/2006/relationships/hyperlink" Target="17.7505.dita#DLAD_17_7505" TargetMode="External" Id="Rc14e33b64add456e" /><Relationship Type="http://schemas.openxmlformats.org/officeDocument/2006/relationships/hyperlink" Target="15.406-3.dita#DLAD_15_406-3" TargetMode="External" Id="R0b76a40c8c9f4ee3" /><Relationship Type="http://schemas.openxmlformats.org/officeDocument/2006/relationships/hyperlink" Target="15.406-3.dita#DLAD_15_406-3/p_P15_406_3_a" TargetMode="External" Id="R9c7ae424ce364bba" /><Relationship Type="http://schemas.openxmlformats.org/officeDocument/2006/relationships/hyperlink" Target="13.501.dita#DLAD_13_501" TargetMode="External" Id="Rcbea3b573e0346a6" /><Relationship Type="http://schemas.openxmlformats.org/officeDocument/2006/relationships/hyperlink" Target="13.501.dita#DLAD_13_501/rer2eB" TargetMode="External" Id="Rd048f4f71c304712" /><Relationship Type="http://schemas.openxmlformats.org/officeDocument/2006/relationships/hyperlink" Target="13.501.dita#DLAD_13_501/rre3B3" TargetMode="External" Id="Rfeb7d05da1c840d0" /><Relationship Type="http://schemas.openxmlformats.org/officeDocument/2006/relationships/hyperlink" Target="15.406-3.dita#DLAD_15_406-3" TargetMode="External" Id="Rf3057ad6418643e9" /><Relationship Type="http://schemas.openxmlformats.org/officeDocument/2006/relationships/hyperlink" Target="15.406-3.dita#DLAD_15_406-3" TargetMode="External" Id="R60db0316808e4293" /><Relationship Type="http://schemas.openxmlformats.org/officeDocument/2006/relationships/hyperlink" Target="https://www.esd.whs.mil/Portals/54/Documents/DD/issuances/dodi/520048p.PDF?ver=2020-03-06-100640-800" TargetMode="External" Id="Rfaa2c0d19c7f4ca7" /><Relationship Type="http://schemas.openxmlformats.org/officeDocument/2006/relationships/hyperlink" Target="https://www.esd.whs.mil/Portals/54/Documents/DD/issuances/dodi/520048p.PDF?ver=2020-03-06-100640-800" TargetMode="External" Id="R53b97cc044f74e9a" /><Relationship Type="http://schemas.openxmlformats.org/officeDocument/2006/relationships/hyperlink" Target="https://issuances.dla.mil/Published_Issuances/Controlled%20Unclassified%20Information%20(CUI).pdf?ver=2020-03-06-100640-800" TargetMode="External" Id="R42bc1101e0a74c9f" /><Relationship Type="http://schemas.openxmlformats.org/officeDocument/2006/relationships/hyperlink" Target="https://issuances.dla.mil/Published_Issuances/Controlled%20Unclassified%20Information%20(CUI).pdf?ver=2020-03-06-100640-800" TargetMode="External" Id="Re770242ac47a48c9" /><Relationship Type="http://schemas.openxmlformats.org/officeDocument/2006/relationships/hyperlink" Target="15.406-3.dita#DLAD_15_406-3" TargetMode="External" Id="R24c32357fa724654" /><Relationship Type="http://schemas.openxmlformats.org/officeDocument/2006/relationships/hyperlink" Target="15.406-3.dita#DLAD_15_406-3" TargetMode="External" Id="R1da0610ea61c4574" /><Relationship Type="http://schemas.openxmlformats.org/officeDocument/2006/relationships/hyperlink" Target="https://www.esd.whs.mil/Portals/54/Documents/DD/issuances/dodi/520048p.PDF?ver=2020-03-06-100640-800" TargetMode="External" Id="Rf5ef05070aa747b2" /><Relationship Type="http://schemas.openxmlformats.org/officeDocument/2006/relationships/hyperlink" Target="https://www.esd.whs.mil/Portals/54/Documents/DD/issuances/dodi/520048p.PDF?ver=2020-03-06-100640-800" TargetMode="External" Id="Ra0d560411e344d31" /><Relationship Type="http://schemas.openxmlformats.org/officeDocument/2006/relationships/hyperlink" Target="https://issuances.dla.mil/Published_Issuances/Controlled%20Unclassified%20Information%20(CUI).pdf?ver=2020-03-06-100640-800" TargetMode="External" Id="R2d0f00d5a83241bf" /><Relationship Type="http://schemas.openxmlformats.org/officeDocument/2006/relationships/hyperlink" Target="https://issuances.dla.mil/Published_Issuances/Controlled%20Unclassified%20Information%20(CUI).pdf?ver=2020-03-06-100640-800" TargetMode="External" Id="R5988767de51943c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