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6" w:id="0"/>
      <w:r>
        <w:rPr>
          <w:rFonts w:ascii="Times New Roman" w:hAnsi="Times New Roman"/>
          <w:color w:val="000000"/>
        </w:rPr>
        <w:t>PART 6</w:t>
      </w:r>
      <w:r>
        <w:rPr>
          <w:rFonts w:ascii="Times New Roman" w:hAnsi="Times New Roman"/>
          <w:color w:val="000000"/>
        </w:rPr>
        <w:t xml:space="preserve"> – COMPETITION REQUIREMENTS</w:t>
      </w:r>
      <w:bookmarkEnd w:id="0"/>
    </w:p>
    <w:p>
      <w:pPr>
        <w:spacing w:after="0"/>
        <w:jc w:val="left"/>
        <w:ind w:left="720" w:hanging="360"/>
      </w:pPr>
      <w:hyperlink w:anchor="DLAD_SUBPART_6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6.2 – FULL AND OPEN COMPETITION AFTER EXCLUSION OF SOURCES</w:t>
        </w:r>
      </w:hyperlink>
    </w:p>
    <w:p>
      <w:pPr>
        <w:spacing w:after="0"/>
        <w:jc w:val="left"/>
        <w:ind w:left="1440" w:hanging="360"/>
      </w:pPr>
      <w:hyperlink w:anchor="DLAD_6_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6.202 Establishing or maintaining alternative sources.</w:t>
        </w:r>
      </w:hyperlink>
    </w:p>
    <w:p>
      <w:pPr>
        <w:spacing w:after="0"/>
        <w:jc w:val="left"/>
        <w:ind w:left="720" w:hanging="360"/>
      </w:pPr>
      <w:hyperlink w:anchor="DLAD_SUBPART_6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6.3 – OTHER THAN FULL AND OPEN COMPETITION</w:t>
        </w:r>
      </w:hyperlink>
    </w:p>
    <w:p>
      <w:pPr>
        <w:spacing w:after="0"/>
        <w:jc w:val="left"/>
        <w:ind w:left="1440" w:hanging="360"/>
      </w:pPr>
      <w:hyperlink w:anchor="DLAD_6_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6.303 Justifications.</w:t>
        </w:r>
      </w:hyperlink>
    </w:p>
    <w:p>
      <w:pPr>
        <w:spacing w:after="0"/>
        <w:jc w:val="left"/>
        <w:ind w:left="1440" w:hanging="360"/>
      </w:pPr>
      <w:hyperlink w:anchor="DLAD_6_303-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6.303-2 Content.</w:t>
        </w:r>
      </w:hyperlink>
    </w:p>
    <w:p>
      <w:pPr>
        <w:spacing w:after="0"/>
        <w:jc w:val="left"/>
        <w:ind w:left="1440" w:hanging="360"/>
      </w:pPr>
      <w:hyperlink w:anchor="DLAD_6_3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6.305 Availability of the justification.</w:t>
        </w:r>
      </w:hyperlink>
    </w:p>
    <w:p>
      <w:pPr>
        <w:spacing w:after="0"/>
        <w:jc w:val="left"/>
        <w:ind w:left="1440" w:hanging="360"/>
      </w:pPr>
      <w:hyperlink w:anchor="DLAD_6_305-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6.305-90 Oversight program.</w:t>
        </w:r>
      </w:hyperlink>
    </w:p>
    <w:p>
      <w:pPr>
        <w:spacing w:after="0"/>
        <w:jc w:val="left"/>
        <w:ind w:left="720" w:hanging="360"/>
      </w:pPr>
      <w:hyperlink w:anchor="DLAD_SUBPART_6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6.5 –ADVOCATES FOR COMPETITION</w:t>
        </w:r>
      </w:hyperlink>
    </w:p>
    <w:p>
      <w:pPr>
        <w:spacing w:after="0"/>
        <w:jc w:val="left"/>
        <w:ind w:left="1440" w:hanging="360"/>
      </w:pPr>
      <w:hyperlink w:anchor="DLAD_6_5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6.501 Requirement.</w:t>
        </w:r>
      </w:hyperlink>
    </w:p>
    <w:p>
      <w:pPr>
        <w:spacing w:after="0"/>
        <w:jc w:val="left"/>
        <w:ind w:left="1440" w:hanging="360"/>
      </w:pPr>
      <w:hyperlink w:anchor="DLAD_6_5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6.503 Annual reporting requirements.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6_2" w:id="1"/>
      <w:r>
        <w:rPr>
          <w:rFonts w:ascii="Times New Roman" w:hAnsi="Times New Roman"/>
          <w:color w:val="000000"/>
          <w:sz w:val="36"/>
        </w:rPr>
        <w:t>SUBPART 6.2</w:t>
      </w:r>
      <w:r>
        <w:rPr>
          <w:rFonts w:ascii="Times New Roman" w:hAnsi="Times New Roman"/>
          <w:color w:val="000000"/>
          <w:sz w:val="36"/>
        </w:rPr>
        <w:t xml:space="preserve"> – FULL AND OPEN COMPETITION AFTER EXCLUSION OF SOURCES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202" w:id="2"/>
      <w:r>
        <w:rPr>
          <w:rFonts w:ascii="Times New Roman" w:hAnsi="Times New Roman"/>
          <w:color w:val="000000"/>
          <w:sz w:val="31"/>
        </w:rPr>
        <w:t>6.202</w:t>
      </w:r>
      <w:r>
        <w:rPr>
          <w:rFonts w:ascii="Times New Roman" w:hAnsi="Times New Roman"/>
          <w:color w:val="000000"/>
          <w:sz w:val="31"/>
        </w:rPr>
        <w:t xml:space="preserve"> Establishing or maintaining alternative sources.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6_3" w:id="3"/>
      <w:r>
        <w:rPr>
          <w:rFonts w:ascii="Times New Roman" w:hAnsi="Times New Roman"/>
          <w:color w:val="000000"/>
          <w:sz w:val="36"/>
        </w:rPr>
        <w:t>SUBPART 6.3</w:t>
      </w:r>
      <w:r>
        <w:rPr>
          <w:rFonts w:ascii="Times New Roman" w:hAnsi="Times New Roman"/>
          <w:color w:val="000000"/>
          <w:sz w:val="36"/>
        </w:rPr>
        <w:t xml:space="preserve"> – OTHER THAN FULL AND OPEN COMPETITION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3" w:id="4"/>
      <w:r>
        <w:rPr>
          <w:rFonts w:ascii="Times New Roman" w:hAnsi="Times New Roman"/>
          <w:color w:val="000000"/>
          <w:sz w:val="31"/>
        </w:rPr>
        <w:t>6.303</w:t>
      </w:r>
      <w:r>
        <w:rPr>
          <w:rFonts w:ascii="Times New Roman" w:hAnsi="Times New Roman"/>
          <w:color w:val="000000"/>
          <w:sz w:val="31"/>
        </w:rPr>
        <w:t xml:space="preserve"> Justifications.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3-2" w:id="5"/>
      <w:r>
        <w:rPr>
          <w:rFonts w:ascii="Times New Roman" w:hAnsi="Times New Roman"/>
          <w:color w:val="000000"/>
          <w:sz w:val="31"/>
        </w:rPr>
        <w:t>6.303-2</w:t>
      </w:r>
      <w:r>
        <w:rPr>
          <w:rFonts w:ascii="Times New Roman" w:hAnsi="Times New Roman"/>
          <w:color w:val="000000"/>
          <w:sz w:val="31"/>
        </w:rPr>
        <w:t xml:space="preserve"> Content.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5" w:id="6"/>
      <w:r>
        <w:rPr>
          <w:rFonts w:ascii="Times New Roman" w:hAnsi="Times New Roman"/>
          <w:color w:val="000000"/>
          <w:sz w:val="31"/>
        </w:rPr>
        <w:t>6.305</w:t>
      </w:r>
      <w:r>
        <w:rPr>
          <w:rFonts w:ascii="Times New Roman" w:hAnsi="Times New Roman"/>
          <w:color w:val="000000"/>
          <w:sz w:val="31"/>
        </w:rPr>
        <w:t xml:space="preserve"> Availability of the justification.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5-90" w:id="7"/>
      <w:r>
        <w:rPr>
          <w:rFonts w:ascii="Times New Roman" w:hAnsi="Times New Roman"/>
          <w:color w:val="000000"/>
          <w:sz w:val="31"/>
        </w:rPr>
        <w:t>6.305-90</w:t>
      </w:r>
      <w:r>
        <w:rPr>
          <w:rFonts w:ascii="Times New Roman" w:hAnsi="Times New Roman"/>
          <w:color w:val="000000"/>
          <w:sz w:val="31"/>
        </w:rPr>
        <w:t xml:space="preserve"> Oversight program.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oversight required by Defense Pricing and Contracting (DPC) in response to GAO report GAO-14-304, “Federal Contracting: Noncompetitive Contracts Based on Urgency Need Additional Oversight” dated March 26, 2014,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HCAs shall monitor FPDS-NG data monthly for compliance with justification and approval (J&amp;A) signature requirements and posting timelines for awards using the unusual and compelling urgency exception. The FPDS-NG data elements Extent Competed and Reason Not Competed and the FPDS code URG will be used in reporting.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HCAs shall compile a quarterly report of the results of the monthly data collected as required in 6.305-90(a). Reports shall be submitted to the DLA Acquisition Operations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Division by the 5th working day after the end of the quarter. The report must include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FPDS-NG data elements: Solicitation number, contract number, original contract award dollarvalue (excluding options), award date, modification number, modification’s dollar value increase, and award date;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Period of performance/estimated completion date; J&amp;A approval authority’s name, title, and signature date; and J&amp;A posting date.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Identification of all contract actions not in compliance with required J&amp;A approval levels and posting timeframes and corrective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DLA Acquisition Operations Division will prepare an enterprise summary for the DLA Acquisition Director by the 10th working day after the end of the quarter.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6_5" w:id="8"/>
      <w:r>
        <w:rPr>
          <w:rFonts w:ascii="Times New Roman" w:hAnsi="Times New Roman"/>
          <w:color w:val="000000"/>
          <w:sz w:val="36"/>
        </w:rPr>
        <w:t>SUBPART 6.5</w:t>
      </w:r>
      <w:r>
        <w:rPr>
          <w:rFonts w:ascii="Times New Roman" w:hAnsi="Times New Roman"/>
          <w:color w:val="000000"/>
          <w:sz w:val="36"/>
        </w:rPr>
        <w:t xml:space="preserve"> –ADVOCATES FOR COMPETITION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501" w:id="9"/>
      <w:r>
        <w:rPr>
          <w:rFonts w:ascii="Times New Roman" w:hAnsi="Times New Roman"/>
          <w:color w:val="000000"/>
          <w:sz w:val="31"/>
        </w:rPr>
        <w:t>6.501</w:t>
      </w:r>
      <w:r>
        <w:rPr>
          <w:rFonts w:ascii="Times New Roman" w:hAnsi="Times New Roman"/>
          <w:color w:val="000000"/>
          <w:sz w:val="31"/>
        </w:rPr>
        <w:t xml:space="preserve"> Requirement.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The DLA Acquisition Deputy Director is the Agency Competition Advocate.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HCAs shall appoint competition advocates and alternates.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503" w:id="10"/>
      <w:r>
        <w:rPr>
          <w:rFonts w:ascii="Times New Roman" w:hAnsi="Times New Roman"/>
          <w:color w:val="000000"/>
          <w:sz w:val="31"/>
        </w:rPr>
        <w:t>6.503</w:t>
      </w:r>
      <w:r>
        <w:rPr>
          <w:rFonts w:ascii="Times New Roman" w:hAnsi="Times New Roman"/>
          <w:color w:val="000000"/>
          <w:sz w:val="31"/>
        </w:rPr>
        <w:t xml:space="preserve"> Annual reporting requirements.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Procuring organization competition advocates shall submit their annual competition report to the DLA Acquisition Operations Division by 15 November each year.</w:t>
      </w:r>
    </w:p>
    <w:sectPr>
      <w:pgSz w:w="12240" w:h="15840" w:code="1"/>
      <w:pgMar w:top="1440" w:right="1440" w:bottom="1440" w:left="1440"/>
      <w:pgNumType w:start="1"/>
      <w:footerReference w:type="default" r:id="Rc83883ed21d44b2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83883ed21d44b22" /><Relationship Type="http://schemas.openxmlformats.org/officeDocument/2006/relationships/hyperlink" Target="SUBPART_6.2.dita#DLAD_SUBPART_6_2" TargetMode="External" Id="Rcfab9ab9921e44f5" /><Relationship Type="http://schemas.openxmlformats.org/officeDocument/2006/relationships/hyperlink" Target="6.202.dita#DLAD_6_202" TargetMode="External" Id="R481d9aac1086425c" /><Relationship Type="http://schemas.openxmlformats.org/officeDocument/2006/relationships/hyperlink" Target="SUBPART_6.3.dita#DLAD_SUBPART_6_3" TargetMode="External" Id="R4b7bbb3df84243fb" /><Relationship Type="http://schemas.openxmlformats.org/officeDocument/2006/relationships/hyperlink" Target="6.303.dita#DLAD_6_303" TargetMode="External" Id="R2531f65bce7e4d76" /><Relationship Type="http://schemas.openxmlformats.org/officeDocument/2006/relationships/hyperlink" Target="6.303-2.dita#DLAD_6_303-2" TargetMode="External" Id="Racdf39674cda4364" /><Relationship Type="http://schemas.openxmlformats.org/officeDocument/2006/relationships/hyperlink" Target="6.305.dita#DLAD_6_305" TargetMode="External" Id="Re2038f458f1b48b5" /><Relationship Type="http://schemas.openxmlformats.org/officeDocument/2006/relationships/hyperlink" Target="6.305-90.dita#DLAD_6_305-90" TargetMode="External" Id="R4ec9ee54904041bb" /><Relationship Type="http://schemas.openxmlformats.org/officeDocument/2006/relationships/hyperlink" Target="SUBPART_6.5.dita#DLAD_SUBPART_6_5" TargetMode="External" Id="Rf15db107bfc84eb6" /><Relationship Type="http://schemas.openxmlformats.org/officeDocument/2006/relationships/hyperlink" Target="6.501.dita#DLAD_6_501" TargetMode="External" Id="R8da4e58d483845de" /><Relationship Type="http://schemas.openxmlformats.org/officeDocument/2006/relationships/hyperlink" Target="6.503.dita#DLAD_6_503" TargetMode="External" Id="R89301b365f5a457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