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7" w:id="0"/>
      <w:r>
        <w:rPr>
          <w:rFonts w:ascii="Times New Roman" w:hAnsi="Times New Roman"/>
          <w:color w:val="000000"/>
        </w:rPr>
        <w:t>PART 7</w:t>
      </w:r>
      <w:r>
        <w:rPr>
          <w:rFonts w:ascii="Times New Roman" w:hAnsi="Times New Roman"/>
          <w:color w:val="000000"/>
        </w:rPr>
        <w:t xml:space="preserve"> – ACQUISITION PLANNING</w:t>
      </w:r>
      <w:bookmarkEnd w:id="0"/>
    </w:p>
    <w:p>
      <w:pPr>
        <w:spacing w:after="0"/>
        <w:jc w:val="left"/>
        <w:ind w:left="720" w:hanging="360"/>
      </w:pPr>
      <w:hyperlink w:anchor="DLAD_SUBPART_7_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LAD_7_102">
        <w:r>
          <w:rPr>
            <w:rStyle w:val="Hyperlink"/>
            <w:rFonts w:ascii="Times New Roman" w:hAnsi="Times New Roman"/>
            <w:b w:val="false"/>
            <w:i w:val="false"/>
            <w:color w:val="0000ff"/>
            <w:sz w:val="22"/>
            <w:u w:val="single"/>
          </w:rPr>
          <w:t>7.102 Policy.</w:t>
        </w:r>
      </w:hyperlink>
    </w:p>
    <w:p>
      <w:pPr>
        <w:spacing w:after="0"/>
        <w:jc w:val="left"/>
        <w:ind w:left="1440" w:hanging="360"/>
      </w:pPr>
      <w:hyperlink w:anchor="DLAD_7_102-90">
        <w:r>
          <w:rPr>
            <w:rStyle w:val="Hyperlink"/>
            <w:rFonts w:ascii="Times New Roman" w:hAnsi="Times New Roman"/>
            <w:b w:val="false"/>
            <w:i w:val="false"/>
            <w:color w:val="0000ff"/>
            <w:sz w:val="22"/>
            <w:u w:val="single"/>
          </w:rPr>
          <w:t>7.102-90 Contract management plan (CMP).</w:t>
        </w:r>
      </w:hyperlink>
    </w:p>
    <w:p>
      <w:pPr>
        <w:spacing w:after="0"/>
        <w:jc w:val="left"/>
        <w:ind w:left="1440" w:hanging="360"/>
      </w:pPr>
      <w:hyperlink w:anchor="DLAD_7_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LAD_7_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LAD_7_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LAD_7_107-1">
        <w:r>
          <w:rPr>
            <w:rStyle w:val="Hyperlink"/>
            <w:rFonts w:ascii="Times New Roman" w:hAnsi="Times New Roman"/>
            <w:b w:val="false"/>
            <w:i w:val="false"/>
            <w:color w:val="0000ff"/>
            <w:sz w:val="22"/>
            <w:u w:val="single"/>
          </w:rPr>
          <w:t>7.107-1 General.</w:t>
        </w:r>
      </w:hyperlink>
    </w:p>
    <w:p>
      <w:pPr>
        <w:spacing w:after="0"/>
        <w:jc w:val="left"/>
        <w:ind w:left="1440" w:hanging="360"/>
      </w:pPr>
      <w:hyperlink w:anchor="DLAD_7_107-2">
        <w:r>
          <w:rPr>
            <w:rStyle w:val="Hyperlink"/>
            <w:rFonts w:ascii="Times New Roman" w:hAnsi="Times New Roman"/>
            <w:b w:val="false"/>
            <w:i w:val="false"/>
            <w:color w:val="0000ff"/>
            <w:sz w:val="22"/>
            <w:u w:val="single"/>
          </w:rPr>
          <w:t>7.107-2 Consolidation.</w:t>
        </w:r>
      </w:hyperlink>
    </w:p>
    <w:p>
      <w:pPr>
        <w:spacing w:after="0"/>
        <w:jc w:val="left"/>
        <w:ind w:left="1440" w:hanging="360"/>
      </w:pPr>
      <w:hyperlink w:anchor="DLAD_7_107-3">
        <w:r>
          <w:rPr>
            <w:rStyle w:val="Hyperlink"/>
            <w:rFonts w:ascii="Times New Roman" w:hAnsi="Times New Roman"/>
            <w:b w:val="false"/>
            <w:i w:val="false"/>
            <w:color w:val="0000ff"/>
            <w:sz w:val="22"/>
            <w:u w:val="single"/>
          </w:rPr>
          <w:t>7.107-3 Bundling.</w:t>
        </w:r>
      </w:hyperlink>
    </w:p>
    <w:p>
      <w:pPr>
        <w:spacing w:after="0"/>
        <w:jc w:val="left"/>
        <w:ind w:left="1440" w:hanging="360"/>
      </w:pPr>
      <w:hyperlink w:anchor="DLAD_7_107-4">
        <w:r>
          <w:rPr>
            <w:rStyle w:val="Hyperlink"/>
            <w:rFonts w:ascii="Times New Roman" w:hAnsi="Times New Roman"/>
            <w:b w:val="false"/>
            <w:i w:val="false"/>
            <w:color w:val="0000ff"/>
            <w:sz w:val="22"/>
            <w:u w:val="single"/>
          </w:rPr>
          <w:t>7.107-4 Substantial bundling.</w:t>
        </w:r>
      </w:hyperlink>
    </w:p>
    <w:p>
      <w:pPr>
        <w:spacing w:after="0"/>
        <w:jc w:val="left"/>
        <w:ind w:left="1440" w:hanging="360"/>
      </w:pPr>
      <w:hyperlink w:anchor="DLAD_7_107-5">
        <w:r>
          <w:rPr>
            <w:rStyle w:val="Hyperlink"/>
            <w:rFonts w:ascii="Times New Roman" w:hAnsi="Times New Roman"/>
            <w:b w:val="false"/>
            <w:i w:val="false"/>
            <w:color w:val="0000ff"/>
            <w:sz w:val="22"/>
            <w:u w:val="single"/>
          </w:rPr>
          <w:t>7.107-5 Notifications.</w:t>
        </w:r>
      </w:hyperlink>
    </w:p>
    <w:p>
      <w:pPr>
        <w:spacing w:after="0"/>
        <w:jc w:val="left"/>
        <w:ind w:left="720" w:hanging="360"/>
      </w:pPr>
      <w:hyperlink w:anchor="DLAD_SUBPART_7_2">
        <w:r>
          <w:rPr>
            <w:rStyle w:val="Hyperlink"/>
            <w:rFonts w:ascii="Times New Roman" w:hAnsi="Times New Roman"/>
            <w:b w:val="false"/>
            <w:i w:val="false"/>
            <w:color w:val="0000ff"/>
            <w:sz w:val="22"/>
            <w:u w:val="single"/>
          </w:rPr>
          <w:t>SUBPART 7.2 – PLANNING FOR THE PURCHASE OF SUPPLIES IN ECONOMIC QUANTITIES</w:t>
        </w:r>
      </w:hyperlink>
    </w:p>
    <w:p>
      <w:pPr>
        <w:spacing w:after="0"/>
        <w:jc w:val="left"/>
        <w:ind w:left="1440" w:hanging="360"/>
      </w:pPr>
      <w:hyperlink w:anchor="DLAD_7_204">
        <w:r>
          <w:rPr>
            <w:rStyle w:val="Hyperlink"/>
            <w:rFonts w:ascii="Times New Roman" w:hAnsi="Times New Roman"/>
            <w:b w:val="false"/>
            <w:i w:val="false"/>
            <w:color w:val="0000ff"/>
            <w:sz w:val="22"/>
            <w:u w:val="single"/>
          </w:rPr>
          <w:t>7.204 Responsibilities of contracting officers.</w:t>
        </w:r>
      </w:hyperlink>
    </w:p>
    <!-- Created by docx4j 6.1.2 (Apache licensed) using REFERENCE JAXB in Oracle Java 15 on Linux -->
    <w:p>
      <w:pPr>
        <w:pStyle w:val="Heading2"/>
        <w:spacing w:after="180"/>
        <w:ind w:left="120"/>
        <w:jc w:val="center"/>
      </w:pPr>
      <w:bookmarkStart w:name="DLAD_SUBPART_7_1" w:id="1"/>
      <w:r>
        <w:rPr>
          <w:rFonts w:ascii="Times New Roman" w:hAnsi="Times New Roman"/>
          <w:color w:val="000000"/>
          <w:sz w:val="36"/>
        </w:rPr>
        <w:t>SUBPART 7.1</w:t>
      </w:r>
      <w:r>
        <w:rPr>
          <w:rFonts w:ascii="Times New Roman" w:hAnsi="Times New Roman"/>
          <w:color w:val="000000"/>
          <w:sz w:val="36"/>
        </w:rPr>
        <w:t xml:space="preserve"> – ACQUISITION PLANS</w:t>
      </w:r>
      <w:bookmarkEnd w:id="1"/>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2021-13)</w:t>
      </w:r>
    </w:p>
    <!-- Created by docx4j 6.1.2 (Apache licensed) using REFERENCE JAXB in Oracle Java 15 on Linux -->
    <w:p>
      <w:pPr>
        <w:pStyle w:val="Heading3"/>
        <w:spacing w:after="199"/>
        <w:ind w:left="120"/>
        <w:jc w:val="left"/>
      </w:pPr>
      <w:bookmarkStart w:name="DLAD_7_102" w:id="2"/>
      <w:r>
        <w:rPr>
          <w:rFonts w:ascii="Times New Roman" w:hAnsi="Times New Roman"/>
          <w:color w:val="000000"/>
          <w:sz w:val="31"/>
        </w:rPr>
        <w:t>7.102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w:anchor="DLAD_1_6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 Created by docx4j 6.1.2 (Apache licensed) using REFERENCE JAXB in Oracle Java 15 on Linux -->
    <w:p>
      <w:pPr>
        <w:pStyle w:val="Heading3"/>
        <w:spacing w:after="199"/>
        <w:ind w:left="120"/>
        <w:jc w:val="left"/>
      </w:pPr>
      <w:bookmarkStart w:name="DLAD_7_102-90" w:id="3"/>
      <w:r>
        <w:rPr>
          <w:rFonts w:ascii="Times New Roman" w:hAnsi="Times New Roman"/>
          <w:color w:val="000000"/>
          <w:sz w:val="31"/>
        </w:rPr>
        <w:t>7.102-90</w:t>
      </w:r>
      <w:r>
        <w:rPr>
          <w:rFonts w:ascii="Times New Roman" w:hAnsi="Times New Roman"/>
          <w:color w:val="000000"/>
          <w:sz w:val="31"/>
        </w:rPr>
        <w:t xml:space="preserve"> Contract management plan (CMP).</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 Created by docx4j 6.1.2 (Apache licensed) using REFERENCE JAXB in Oracle Java 15 on Linux -->
    <w:p>
      <w:pPr>
        <w:pStyle w:val="Heading3"/>
        <w:spacing w:after="199"/>
        <w:ind w:left="120"/>
        <w:jc w:val="left"/>
      </w:pPr>
      <w:bookmarkStart w:name="DLAD_7_103" w:id="4"/>
      <w:r>
        <w:rPr>
          <w:rFonts w:ascii="Times New Roman" w:hAnsi="Times New Roman"/>
          <w:color w:val="000000"/>
          <w:sz w:val="31"/>
        </w:rPr>
        <w:t>7.103</w:t>
      </w:r>
      <w:r>
        <w:rPr>
          <w:rFonts w:ascii="Times New Roman" w:hAnsi="Times New Roman"/>
          <w:color w:val="000000"/>
          <w:sz w:val="31"/>
        </w:rPr>
        <w:t xml:space="preserve"> Agency–head responsibilities.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(a) Procuring organization COMPADs, small business specialists, technical personnel, and program managers are the resources to assist contracting officers in expanding competition.</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COMPADs, small business specialists, technical personnel, and program managers are the resources to assist contracting officers in expanding the use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(d)(i)(B) An acquisition valued over the SAT but less than $50 million for all years requires a written streamlined acquisition plan (SAP) (see template in </w:t>
      </w:r>
      <w:hyperlink w:anchor="DLAD_53_9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53.9007(a)</w:t>
        </w:r>
      </w:hyperlink>
      <w:r>
        <w:rPr>
          <w:rFonts w:ascii="Times New Roman" w:hAnsi="Times New Roman"/>
          <w:b w:val="false"/>
          <w:i w:val="false"/>
          <w:color w:val="000000"/>
          <w:sz w:val="22"/>
        </w:rPr>
        <w:t>). For acquisitions valued $50 million or more for all years or $25 million or more for any fiscal year, follow DFARS 207.103(d)(i)(B).</w:t>
      </w:r>
    </w:p>
    <w:p>
      <w:pPr>
        <w:pBdr>
          <w:top w:space="5"/>
          <w:left w:space="5"/>
          <w:bottom w:space="5"/>
          <w:right w:space="5"/>
        </w:pBdr>
        <w:spacing w:after="0"/>
        <w:ind w:left="225"/>
        <w:jc w:val="left"/>
      </w:pPr>
      <w:r>
        <w:rPr>
          <w:rFonts w:ascii="Times New Roman" w:hAnsi="Times New Roman"/>
          <w:b w:val="false"/>
          <w:i w:val="false"/>
          <w:color w:val="000000"/>
          <w:sz w:val="22"/>
        </w:rPr>
        <w:t>(g)(1) All service requirements require written review, validation, prioritization and approval/disapproval by the Decision Authority as directed in DLA Manual 5000.74, DLA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(2) Program managers, functional service managers, requirements generators, requirements owners, and requirements analysts must—</w:t>
      </w:r>
    </w:p>
    <w:p>
      <w:pPr>
        <w:pBdr>
          <w:top w:space="5"/>
          <w:left w:space="5"/>
          <w:bottom w:space="5"/>
          <w:right w:space="5"/>
        </w:pBdr>
        <w:spacing w:after="0"/>
        <w:ind w:left="945"/>
        <w:jc w:val="left"/>
      </w:pPr>
      <w:r>
        <w:rPr>
          <w:rFonts w:ascii="Times New Roman" w:hAnsi="Times New Roman"/>
          <w:b w:val="false"/>
          <w:i w:val="false"/>
          <w:color w:val="000000"/>
          <w:sz w:val="22"/>
        </w:rPr>
        <w:t>(i) Obtain approval of all service requirements under their purview by the appropriate Decision Authority, who must provide approval of service requirements before the contracting officer develops an acquisition strategy; and</w:t>
      </w:r>
    </w:p>
    <w:p>
      <w:pPr>
        <w:pBdr>
          <w:top w:space="5"/>
          <w:left w:space="5"/>
          <w:bottom w:space="5"/>
          <w:right w:space="5"/>
        </w:pBdr>
        <w:spacing w:after="0"/>
        <w:ind w:left="945"/>
        <w:jc w:val="left"/>
      </w:pPr>
      <w:r>
        <w:rPr>
          <w:rFonts w:ascii="Times New Roman" w:hAnsi="Times New Roman"/>
          <w:b w:val="false"/>
          <w:i w:val="false"/>
          <w:color w:val="000000"/>
          <w:sz w:val="22"/>
        </w:rPr>
        <w:t>(ii) Provide to the cognizant contracting office a complete package as directed in DLA Manual 5000.74 including appropriate documentation that the service requirement is approved and funded.</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must:</w:t>
      </w:r>
    </w:p>
    <w:p>
      <w:pPr>
        <w:pBdr>
          <w:top w:space="5"/>
          <w:left w:space="5"/>
          <w:bottom w:space="5"/>
          <w:right w:space="5"/>
        </w:pBdr>
        <w:spacing w:after="0"/>
        <w:ind w:left="945"/>
        <w:jc w:val="left"/>
      </w:pPr>
      <w:r>
        <w:rPr>
          <w:rFonts w:ascii="Times New Roman" w:hAnsi="Times New Roman"/>
          <w:b w:val="false"/>
          <w:i w:val="false"/>
          <w:color w:val="000000"/>
          <w:sz w:val="22"/>
        </w:rPr>
        <w:t>(i) Obtain documentation of the review, validation, approval, and funding of service requirements with the requirements package; and</w:t>
      </w:r>
    </w:p>
    <w:p>
      <w:pPr>
        <w:pBdr>
          <w:top w:space="5"/>
          <w:left w:space="5"/>
          <w:bottom w:space="5"/>
          <w:right w:space="5"/>
        </w:pBdr>
        <w:spacing w:after="0"/>
        <w:ind w:left="945"/>
        <w:jc w:val="left"/>
      </w:pPr>
      <w:r>
        <w:rPr>
          <w:rFonts w:ascii="Times New Roman" w:hAnsi="Times New Roman"/>
          <w:b w:val="false"/>
          <w:i w:val="false"/>
          <w:color w:val="000000"/>
          <w:sz w:val="22"/>
        </w:rPr>
        <w:t>(ii) Include a statement in the acquisition plan that the documentation of the review, validation, approval, and funding of the service requirements demonstrates the requirement is valid, approved, and funded.</w:t>
      </w:r>
    </w:p>
    <!-- Created by docx4j 6.1.2 (Apache licensed) using REFERENCE JAXB in Oracle Java 15 on Linux -->
    <w:p>
      <w:pPr>
        <w:pStyle w:val="Heading3"/>
        <w:spacing w:after="199"/>
        <w:ind w:left="120"/>
        <w:jc w:val="left"/>
      </w:pPr>
      <w:bookmarkStart w:name="DLAD_7_105" w:id="5"/>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5"/>
    </w:p>
    <w:p>
      <w:pPr>
        <w:pBdr>
          <w:top w:space="5"/>
          <w:left w:space="5"/>
          <w:bottom w:space="5"/>
          <w:right w:space="5"/>
        </w:pBdr>
        <w:spacing w:after="0"/>
        <w:ind w:left="225"/>
        <w:jc w:val="left"/>
      </w:pPr>
      <w:r>
        <w:rPr>
          <w:rFonts w:ascii="Times New Roman" w:hAnsi="Times New Roman"/>
          <w:b w:val="false"/>
          <w:i w:val="false"/>
          <w:color w:val="000000"/>
          <w:sz w:val="22"/>
        </w:rPr>
        <w:t>(b)(1)(iv) For any bundled requirement,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Notify the DLA Office of Small Business Programs (OSBP) for acquisitions valued over $2 million prior to acquisition plan approval;</w:t>
      </w:r>
    </w:p>
    <w:p>
      <w:pPr>
        <w:pBdr>
          <w:top w:space="5"/>
          <w:left w:space="5"/>
          <w:bottom w:space="5"/>
          <w:right w:space="5"/>
        </w:pBdr>
        <w:spacing w:after="0"/>
        <w:ind w:left="585"/>
        <w:jc w:val="left"/>
      </w:pPr>
      <w:r>
        <w:rPr>
          <w:rFonts w:ascii="Times New Roman" w:hAnsi="Times New Roman"/>
          <w:b w:val="false"/>
          <w:i w:val="false"/>
          <w:color w:val="000000"/>
          <w:sz w:val="22"/>
        </w:rPr>
        <w:t>(2) Regardless of dollar value, document on the DD Form 2579, Small Business Coordination Record, the impact of any bundling that might adversely affect participation of small businesses in the acquisition; and</w:t>
      </w:r>
    </w:p>
    <w:p>
      <w:pPr>
        <w:pBdr>
          <w:top w:space="5"/>
          <w:left w:space="5"/>
          <w:bottom w:space="5"/>
          <w:right w:space="5"/>
        </w:pBdr>
        <w:spacing w:after="0"/>
        <w:ind w:left="585"/>
        <w:jc w:val="left"/>
      </w:pPr>
      <w:r>
        <w:rPr>
          <w:rFonts w:ascii="Times New Roman" w:hAnsi="Times New Roman"/>
          <w:b w:val="false"/>
          <w:i w:val="false"/>
          <w:color w:val="000000"/>
          <w:sz w:val="22"/>
        </w:rPr>
        <w:t>(3) Attach the list of incumbent contractors and contracts affected by the bundling to the DD Form 2579.</w:t>
      </w:r>
    </w:p>
    <!-- Created by docx4j 6.1.2 (Apache licensed) using REFERENCE JAXB in Oracle Java 15 on Linux -->
    <w:p>
      <w:pPr>
        <w:pStyle w:val="Heading3"/>
        <w:spacing w:after="199"/>
        <w:ind w:left="120"/>
        <w:jc w:val="left"/>
      </w:pPr>
      <w:bookmarkStart w:name="DLAD_7_107" w:id="6"/>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7_107-1" w:id="7"/>
      <w:r>
        <w:rPr>
          <w:rFonts w:ascii="Times New Roman" w:hAnsi="Times New Roman"/>
          <w:color w:val="000000"/>
          <w:sz w:val="31"/>
        </w:rPr>
        <w:t>7.107-1</w:t>
      </w:r>
      <w:r>
        <w:rPr>
          <w:rFonts w:ascii="Times New Roman" w:hAnsi="Times New Roman"/>
          <w:color w:val="000000"/>
          <w:sz w:val="31"/>
        </w:rPr>
        <w:t xml:space="preserve"> General.</w:t>
      </w:r>
      <w:bookmarkEnd w:id="7"/>
    </w:p>
    <w:p>
      <w:pPr>
        <w:pStyle w:val="Normal"/>
        <w:pBdr>
          <w:top w:space="5"/>
          <w:left w:space="5"/>
          <w:bottom w:space="5"/>
          <w:right w:space="5"/>
        </w:pBdr>
        <w:spacing w:after="0"/>
        <w:ind w:left="225"/>
        <w:jc w:val="left"/>
      </w:pPr>
      <w:r>
        <w:rPr>
          <w:rFonts w:ascii="Times New Roman" w:hAnsi="Times New Roman"/>
          <w:color w:val="000000"/>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DLAD_7_107-2">
        <w:r>
          <w:rPr>
            <w:rStyle w:val="Hyperlink"/>
            <w:rFonts w:ascii="Times New Roman" w:hAnsi="Times New Roman"/>
            <w:color w:val="0000ff"/>
            <w:u w:val="single"/>
          </w:rPr>
          <w:t/>
        </w:r>
        <w:r>
          <w:rPr>
            <w:rFonts w:ascii="Times New Roman" w:hAnsi="Times New Roman"/>
            <w:color w:val="0000ff"/>
            <w:u w:val="single"/>
          </w:rPr>
          <w:t>7.107-2</w:t>
        </w:r>
      </w:hyperlink>
      <w:hyperlink w:anchor="DLAD_7_107-2">
        <w:r>
          <w:rPr>
            <w:rStyle w:val="Hyperlink"/>
            <w:rFonts w:ascii="Times New Roman" w:hAnsi="Times New Roman"/>
            <w:color w:val="0000ff"/>
            <w:u w:val="single"/>
          </w:rPr>
          <w:t/>
        </w:r>
        <w:r>
          <w:rPr>
            <w:rFonts w:ascii="Times New Roman" w:hAnsi="Times New Roman"/>
            <w:color w:val="0000ff"/>
            <w:u w:val="single"/>
          </w:rPr>
          <w:t>(b)</w:t>
        </w:r>
      </w:hyperlink>
      <w:r>
        <w:rPr>
          <w:rFonts w:ascii="Times New Roman" w:hAnsi="Times New Roman"/>
          <w:color w:val="000000"/>
        </w:rPr>
        <w:t xml:space="preserve"> and </w:t>
      </w:r>
      <w:hyperlink w:anchor="DLAD_7_107-3">
        <w:r>
          <w:rPr>
            <w:rStyle w:val="Hyperlink"/>
            <w:rFonts w:ascii="Times New Roman" w:hAnsi="Times New Roman"/>
            <w:color w:val="0000ff"/>
            <w:u w:val="single"/>
          </w:rPr>
          <w:t/>
        </w:r>
        <w:r>
          <w:rPr>
            <w:rFonts w:ascii="Times New Roman" w:hAnsi="Times New Roman"/>
            <w:color w:val="0000ff"/>
            <w:u w:val="single"/>
          </w:rPr>
          <w:t>7.107-3</w:t>
        </w:r>
      </w:hyperlink>
      <w:hyperlink w:anchor="DLAD_7_107-3">
        <w:r>
          <w:rPr>
            <w:rStyle w:val="Hyperlink"/>
            <w:rFonts w:ascii="Times New Roman" w:hAnsi="Times New Roman"/>
            <w:color w:val="0000ff"/>
            <w:u w:val="single"/>
          </w:rPr>
          <w:t/>
        </w:r>
        <w:r>
          <w:rPr>
            <w:rFonts w:ascii="Times New Roman" w:hAnsi="Times New Roman"/>
            <w:color w:val="0000ff"/>
            <w:u w:val="single"/>
          </w:rPr>
          <w:t>(a)</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Contracting officers shall coordinate any consolidation or bundling determination/justification their procuring organization OSBP and include that coordination when forwarding the determination to the CCO, HCA, or SPE for approval.</w:t>
      </w:r>
    </w:p>
    <!-- Created by docx4j 6.1.2 (Apache licensed) using REFERENCE JAXB in Oracle Java 15 on Linux -->
    <w:p>
      <w:pPr>
        <w:pStyle w:val="Heading3"/>
        <w:spacing w:after="199"/>
        <w:ind w:left="120"/>
        <w:jc w:val="left"/>
      </w:pPr>
      <w:bookmarkStart w:name="DLAD_7_107-2" w:id="8"/>
      <w:r>
        <w:rPr>
          <w:rFonts w:ascii="Times New Roman" w:hAnsi="Times New Roman"/>
          <w:color w:val="000000"/>
          <w:sz w:val="31"/>
        </w:rPr>
        <w:t>7.107-2</w:t>
      </w:r>
      <w:r>
        <w:rPr>
          <w:rFonts w:ascii="Times New Roman" w:hAnsi="Times New Roman"/>
          <w:color w:val="000000"/>
          <w:sz w:val="31"/>
        </w:rPr>
        <w:t xml:space="preserve"> Consolidation.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 Created by docx4j 6.1.2 (Apache licensed) using REFERENCE JAXB in Oracle Java 15 on Linux -->
    <w:p>
      <w:pPr>
        <w:pStyle w:val="Heading3"/>
        <w:spacing w:after="199"/>
        <w:ind w:left="120"/>
        <w:jc w:val="left"/>
      </w:pPr>
      <w:bookmarkStart w:name="DLAD_7_107-3" w:id="9"/>
      <w:r>
        <w:rPr>
          <w:rFonts w:ascii="Times New Roman" w:hAnsi="Times New Roman"/>
          <w:color w:val="000000"/>
          <w:sz w:val="31"/>
        </w:rPr>
        <w:t>7.107-3</w:t>
      </w:r>
      <w:r>
        <w:rPr>
          <w:rFonts w:ascii="Times New Roman" w:hAnsi="Times New Roman"/>
          <w:color w:val="000000"/>
          <w:sz w:val="31"/>
        </w:rPr>
        <w:t xml:space="preserve"> Bundling.</w:t>
      </w:r>
      <w:bookmarkEnd w:id="9"/>
    </w:p>
    <w:p>
      <w:pPr>
        <w:pBdr>
          <w:top w:space="5"/>
          <w:left w:space="5"/>
          <w:bottom w:space="5"/>
          <w:right w:space="5"/>
        </w:pBdr>
        <w:spacing w:after="0"/>
        <w:ind w:left="225"/>
        <w:jc w:val="left"/>
      </w:pPr>
      <w:r>
        <w:rPr>
          <w:rFonts w:ascii="Times New Roman" w:hAnsi="Times New Roman"/>
          <w:b w:val="false"/>
          <w:i w:val="false"/>
          <w:color w:val="000000"/>
          <w:sz w:val="22"/>
        </w:rP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pPr>
        <w:pBdr>
          <w:top w:space="5"/>
          <w:left w:space="5"/>
          <w:bottom w:space="5"/>
          <w:right w:space="5"/>
        </w:pBdr>
        <w:spacing w:after="0"/>
        <w:ind w:left="225"/>
        <w:jc w:val="left"/>
      </w:pPr>
      <w:r>
        <w:rPr>
          <w:rFonts w:ascii="Times New Roman" w:hAnsi="Times New Roman"/>
          <w:b w:val="false"/>
          <w:i w:val="false"/>
          <w:color w:val="000000"/>
          <w:sz w:val="22"/>
        </w:rPr>
        <w:t>(f)(2) Submit the justification to the DLA Acquisition Operations Division. Approval must be obtained prior to issuing the solicitation. The SPE has approval authority, without power of delegation.</w:t>
      </w:r>
    </w:p>
    <!-- Created by docx4j 6.1.2 (Apache licensed) using REFERENCE JAXB in Oracle Java 15 on Linux -->
    <w:p>
      <w:pPr>
        <w:pStyle w:val="Heading3"/>
        <w:spacing w:after="199"/>
        <w:ind w:left="120"/>
        <w:jc w:val="left"/>
      </w:pPr>
      <w:bookmarkStart w:name="DLAD_7_107-4" w:id="10"/>
      <w:r>
        <w:rPr>
          <w:rFonts w:ascii="Times New Roman" w:hAnsi="Times New Roman"/>
          <w:color w:val="000000"/>
          <w:sz w:val="31"/>
        </w:rPr>
        <w:t>7.107-4</w:t>
      </w:r>
      <w:r>
        <w:rPr>
          <w:rFonts w:ascii="Times New Roman" w:hAnsi="Times New Roman"/>
          <w:color w:val="000000"/>
          <w:sz w:val="31"/>
        </w:rPr>
        <w:t xml:space="preserve"> Substantial bundling.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 Created by docx4j 6.1.2 (Apache licensed) using REFERENCE JAXB in Oracle Java 15 on Linux -->
    <w:p>
      <w:pPr>
        <w:pStyle w:val="Heading3"/>
        <w:spacing w:after="199"/>
        <w:ind w:left="120"/>
        <w:jc w:val="left"/>
      </w:pPr>
      <w:bookmarkStart w:name="DLAD_7_107-5" w:id="11"/>
      <w:r>
        <w:rPr>
          <w:rFonts w:ascii="Times New Roman" w:hAnsi="Times New Roman"/>
          <w:color w:val="000000"/>
          <w:sz w:val="31"/>
        </w:rPr>
        <w:t>7.107-5</w:t>
      </w:r>
      <w:r>
        <w:rPr>
          <w:rFonts w:ascii="Times New Roman" w:hAnsi="Times New Roman"/>
          <w:color w:val="000000"/>
          <w:sz w:val="31"/>
        </w:rPr>
        <w:t xml:space="preserve"> Notifications.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(b)(1) Each procuring organization’s website is the agency website for purposes of posting notices of bundled requirements. Procuring organizations that do not have a public website should post notices of bundled requirements to </w:t>
      </w:r>
      <w:hyperlink r:id="Rd1c57860cd1342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3d28449ac5dc4f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88ae892ed5ff42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c378290485da4f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7_2" w:id="12"/>
      <w:r>
        <w:rPr>
          <w:rFonts w:ascii="Times New Roman" w:hAnsi="Times New Roman"/>
          <w:color w:val="000000"/>
          <w:sz w:val="36"/>
        </w:rPr>
        <w:t>SUBPART 7.2</w:t>
      </w:r>
      <w:r>
        <w:rPr>
          <w:rFonts w:ascii="Times New Roman" w:hAnsi="Times New Roman"/>
          <w:color w:val="000000"/>
          <w:sz w:val="36"/>
        </w:rPr>
        <w:t xml:space="preserve"> – PLANNING FOR THE PURCHASE OF SUPPLIES IN ECONOMIC QUANTITIES</w:t>
      </w:r>
      <w:bookmarkEnd w:id="12"/>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2017-09)</w:t>
      </w:r>
    </w:p>
    <!-- Created by docx4j 6.1.2 (Apache licensed) using REFERENCE JAXB in Oracle Java 15 on Linux -->
    <w:p>
      <w:pPr>
        <w:pStyle w:val="Heading3"/>
        <w:spacing w:after="199"/>
        <w:ind w:left="120"/>
        <w:jc w:val="left"/>
      </w:pPr>
      <w:bookmarkStart w:name="DLAD_7_204" w:id="13"/>
      <w:r>
        <w:rPr>
          <w:rFonts w:ascii="Times New Roman" w:hAnsi="Times New Roman"/>
          <w:color w:val="000000"/>
          <w:sz w:val="31"/>
        </w:rPr>
        <w:t>7.204</w:t>
      </w:r>
      <w:r>
        <w:rPr>
          <w:rFonts w:ascii="Times New Roman" w:hAnsi="Times New Roman"/>
          <w:color w:val="000000"/>
          <w:sz w:val="31"/>
        </w:rPr>
        <w:t xml:space="preserve"> Responsibilities of contracting officers.</w:t>
      </w:r>
      <w:bookmarkEnd w:id="1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w:sectPr>
      <w:pgSz w:w="12240" w:h="15840" w:code="1"/>
      <w:pgMar w:top="1440" w:right="1440" w:bottom="1440" w:left="1440"/>
      <w:pgNumType w:start="1"/>
      <w:footerReference w:type="default" r:id="Raac1652e2f9f42e9"/>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ac1652e2f9f42e9" /><Relationship Type="http://schemas.openxmlformats.org/officeDocument/2006/relationships/hyperlink" Target="SUBPART_7.1.dita#DLAD_SUBPART_7_1" TargetMode="External" Id="R43692e6b39c94b60" /><Relationship Type="http://schemas.openxmlformats.org/officeDocument/2006/relationships/hyperlink" Target="7.102.dita#DLAD_7_102" TargetMode="External" Id="R227cfdd8d7514453" /><Relationship Type="http://schemas.openxmlformats.org/officeDocument/2006/relationships/hyperlink" Target="7.102-90.dita#DLAD_7_102-90" TargetMode="External" Id="R3d4dd35ae34a482e" /><Relationship Type="http://schemas.openxmlformats.org/officeDocument/2006/relationships/hyperlink" Target="7.103.dita#DLAD_7_103" TargetMode="External" Id="Rd633f8a3f89f48a0" /><Relationship Type="http://schemas.openxmlformats.org/officeDocument/2006/relationships/hyperlink" Target="7.105.dita#DLAD_7_105" TargetMode="External" Id="R83a0202b67054437" /><Relationship Type="http://schemas.openxmlformats.org/officeDocument/2006/relationships/hyperlink" Target="7.107.dita#DLAD_7_107" TargetMode="External" Id="Rd004f0cb98b64fb5" /><Relationship Type="http://schemas.openxmlformats.org/officeDocument/2006/relationships/hyperlink" Target="7.107-1.dita#DLAD_7_107-1" TargetMode="External" Id="R19a73bb03b0440b2" /><Relationship Type="http://schemas.openxmlformats.org/officeDocument/2006/relationships/hyperlink" Target="7.107-2.dita#DLAD_7_107-2" TargetMode="External" Id="R3b89414d5af64cee" /><Relationship Type="http://schemas.openxmlformats.org/officeDocument/2006/relationships/hyperlink" Target="7.107-3.dita#DLAD_7_107-3" TargetMode="External" Id="R0e457a945c7b4c09" /><Relationship Type="http://schemas.openxmlformats.org/officeDocument/2006/relationships/hyperlink" Target="7.107-4.dita#DLAD_7_107-4" TargetMode="External" Id="Ra5339dec8f20494e" /><Relationship Type="http://schemas.openxmlformats.org/officeDocument/2006/relationships/hyperlink" Target="7.107-5.dita#DLAD_7_107-5" TargetMode="External" Id="Rf553f1a048c44557" /><Relationship Type="http://schemas.openxmlformats.org/officeDocument/2006/relationships/hyperlink" Target="SUBPART_7.2.dita#DLAD_SUBPART_7_2" TargetMode="External" Id="Ra842ef9765c0414c" /><Relationship Type="http://schemas.openxmlformats.org/officeDocument/2006/relationships/hyperlink" Target="7.204.dita#DLAD_7_204" TargetMode="External" Id="R6caea32581194280" /><Relationship Type="http://schemas.openxmlformats.org/officeDocument/2006/relationships/hyperlink" Target="1.690-1.dita#DLAD_1_690-1" TargetMode="External" Id="Rc620350e74704f62" /><Relationship Type="http://schemas.openxmlformats.org/officeDocument/2006/relationships/hyperlink" Target="53.9007.dita#DLAD_53_9007/p_P53_9007_a" TargetMode="External" Id="Reb72442b7db84b59" /><Relationship Type="http://schemas.openxmlformats.org/officeDocument/2006/relationships/hyperlink" Target="7.107-2.dita#DLAD_7_107-2" TargetMode="External" Id="Rabaed782ad184e72" /><Relationship Type="http://schemas.openxmlformats.org/officeDocument/2006/relationships/hyperlink" Target="7.107-2.dita#DLAD_7_107-2/p_P7_107_2_b" TargetMode="External" Id="R83f73ca115484f5a" /><Relationship Type="http://schemas.openxmlformats.org/officeDocument/2006/relationships/hyperlink" Target="7.107-3.dita#DLAD_7_107-3" TargetMode="External" Id="R788f9a8daa6b4596" /><Relationship Type="http://schemas.openxmlformats.org/officeDocument/2006/relationships/hyperlink" Target="7.107-3.dita#DLAD_7_107-3/p_P7_107_3_a" TargetMode="External" Id="Ra45cdd34240e41eb" /><Relationship Type="http://schemas.openxmlformats.org/officeDocument/2006/relationships/hyperlink" Target="https://sam.gov/content/opportunities" TargetMode="External" Id="Rd1c57860cd13423c" /><Relationship Type="http://schemas.openxmlformats.org/officeDocument/2006/relationships/hyperlink" Target="https://sam.gov/content/opportunities" TargetMode="External" Id="R3d28449ac5dc4fbd" /><Relationship Type="http://schemas.openxmlformats.org/officeDocument/2006/relationships/hyperlink" Target="https://sam.gov/content/home" TargetMode="External" Id="R88ae892ed5ff42e9" /><Relationship Type="http://schemas.openxmlformats.org/officeDocument/2006/relationships/hyperlink" Target="https://sam.gov/content/home" TargetMode="External" Id="Rc378290485da4f5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