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GI_PART_1" w:id="0"/>
      <w:r>
        <w:rPr>
          <w:rFonts w:ascii="Times New Roman" w:hAnsi="Times New Roman"/>
          <w:color w:val="000000"/>
        </w:rPr>
        <w:t>PGI PART 1</w:t>
      </w:r>
      <w:r>
        <w:rPr>
          <w:rFonts w:ascii="Times New Roman" w:hAnsi="Times New Roman"/>
          <w:color w:val="000000"/>
        </w:rPr>
        <w:t xml:space="preserve"> – FEDERAL ACQUISITION REGULATIONS SYSTEM</w:t>
      </w:r>
      <w:bookmarkEnd w:id="0"/>
    </w:p>
    <w:p>
      <w:pPr>
        <w:spacing w:after="0"/>
        <w:jc w:val="left"/>
        <w:ind w:left="720" w:hanging="360"/>
      </w:pPr>
      <w:hyperlink w:anchor="DLAD_PGI_SUBPART_1_6">
        <w:r>
          <w:rPr>
            <w:rStyle w:val="Hyperlink"/>
            <w:rFonts w:ascii="Times New Roman" w:hAnsi="Times New Roman"/>
            <w:b w:val="false"/>
            <w:i w:val="false"/>
            <w:color w:val="0000ff"/>
            <w:sz w:val="22"/>
            <w:u w:val="single"/>
          </w:rPr>
          <w:t>PGI SUBPART 1.6 – CAREER DEVELOPMENT, CONTRACTING AUTHORITY, AND RESPONSIBILITIES</w:t>
        </w:r>
      </w:hyperlink>
    </w:p>
    <w:p>
      <w:pPr>
        <w:spacing w:after="0"/>
        <w:jc w:val="left"/>
        <w:ind w:left="1440" w:hanging="360"/>
      </w:pPr>
      <w:hyperlink w:anchor="DLAD_PGI_1_601">
        <w:r>
          <w:rPr>
            <w:rStyle w:val="Hyperlink"/>
            <w:rFonts w:ascii="Times New Roman" w:hAnsi="Times New Roman"/>
            <w:b w:val="false"/>
            <w:i w:val="false"/>
            <w:color w:val="0000ff"/>
            <w:sz w:val="22"/>
            <w:u w:val="single"/>
          </w:rPr>
          <w:t>PGI 1.601 General.</w:t>
        </w:r>
      </w:hyperlink>
    </w:p>
    <w:p>
      <w:pPr>
        <w:spacing w:after="0"/>
        <w:jc w:val="left"/>
        <w:ind w:left="1440" w:hanging="360"/>
      </w:pPr>
      <w:hyperlink w:anchor="DLAD_PGI_1_602-3">
        <w:r>
          <w:rPr>
            <w:rStyle w:val="Hyperlink"/>
            <w:rFonts w:ascii="Times New Roman" w:hAnsi="Times New Roman"/>
            <w:b w:val="false"/>
            <w:i w:val="false"/>
            <w:color w:val="0000ff"/>
            <w:sz w:val="22"/>
            <w:u w:val="single"/>
          </w:rPr>
          <w:t>PGI 1.602-3 Ratification of unauthorized commitments.</w:t>
        </w:r>
      </w:hyperlink>
    </w:p>
    <!-- Created by docx4j 6.1.2 (Apache licensed) using REFERENCE JAXB in Oracle Java 15 on Linux -->
    <w:p>
      <w:pPr>
        <w:pStyle w:val="Heading2"/>
        <w:spacing w:after="180"/>
        <w:ind w:left="120"/>
        <w:jc w:val="center"/>
      </w:pPr>
      <w:bookmarkStart w:name="DLAD_PGI_SUBPART_1_6" w:id="1"/>
      <w:r>
        <w:rPr>
          <w:rFonts w:ascii="Times New Roman" w:hAnsi="Times New Roman"/>
          <w:color w:val="000000"/>
          <w:sz w:val="36"/>
        </w:rPr>
        <w:t>PGI SUBPART 1.6</w:t>
      </w:r>
      <w:r>
        <w:rPr>
          <w:rFonts w:ascii="Times New Roman" w:hAnsi="Times New Roman"/>
          <w:color w:val="000000"/>
          <w:sz w:val="36"/>
        </w:rPr>
        <w:t xml:space="preserve"> – CAREER DEVELOPMENT, CONTRACTING AUTHORITY, AND RESPONSIBILITIES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PGI_1_601" w:id="2"/>
      <w:r>
        <w:rPr>
          <w:rFonts w:ascii="Times New Roman" w:hAnsi="Times New Roman"/>
          <w:color w:val="000000"/>
          <w:sz w:val="31"/>
        </w:rPr>
        <w:t>PGI 1.601</w:t>
      </w:r>
      <w:r>
        <w:rPr>
          <w:rFonts w:ascii="Times New Roman" w:hAnsi="Times New Roman"/>
          <w:color w:val="000000"/>
          <w:sz w:val="31"/>
        </w:rPr>
        <w:t xml:space="preserve"> General.</w:t>
      </w:r>
      <w:bookmarkEnd w:id="2"/>
    </w:p>
    <w:p>
      <w:pPr>
        <w:pBdr>
          <w:top w:space="5"/>
          <w:left w:space="5"/>
          <w:bottom w:space="5"/>
          <w:right w:space="5"/>
        </w:pBdr>
        <w:spacing w:after="0"/>
        <w:ind w:left="225"/>
        <w:jc w:val="left"/>
      </w:pPr>
      <w:r>
        <w:rPr>
          <w:rFonts w:ascii="Times New Roman" w:hAnsi="Times New Roman"/>
          <w:b w:val="false"/>
          <w:i w:val="false"/>
          <w:color w:val="000000"/>
          <w:sz w:val="22"/>
        </w:rPr>
        <w:t>(a)(S-90) The DLA Acquisition Director designates DLA HCAs, subject to the following limitations:</w:t>
      </w:r>
    </w:p>
    <w:p>
      <w:pPr>
        <w:pBdr>
          <w:top w:space="5"/>
          <w:left w:space="5"/>
          <w:bottom w:space="5"/>
          <w:right w:space="5"/>
        </w:pBdr>
        <w:spacing w:after="0"/>
        <w:ind w:left="945"/>
        <w:jc w:val="left"/>
      </w:pPr>
      <w:r>
        <w:rPr>
          <w:rFonts w:ascii="Times New Roman" w:hAnsi="Times New Roman"/>
          <w:b w:val="false"/>
          <w:i w:val="false"/>
          <w:color w:val="000000"/>
          <w:sz w:val="22"/>
        </w:rPr>
        <w:t>(i) Designations authorizing exercise of all HCA contracting authority require that the designee is—</w:t>
      </w:r>
    </w:p>
    <w:p>
      <w:pPr>
        <w:pBdr>
          <w:top w:space="5"/>
          <w:left w:space="5"/>
          <w:bottom w:space="5"/>
          <w:right w:space="5"/>
        </w:pBdr>
        <w:spacing w:after="0"/>
        <w:ind w:left="1305"/>
        <w:jc w:val="left"/>
      </w:pPr>
      <w:r>
        <w:rPr>
          <w:rFonts w:ascii="Times New Roman" w:hAnsi="Times New Roman"/>
          <w:b w:val="false"/>
          <w:i w:val="false"/>
          <w:color w:val="000000"/>
          <w:sz w:val="22"/>
        </w:rPr>
        <w:t>(A) A member of the Senior Executive Service (SES);</w:t>
      </w:r>
    </w:p>
    <w:p>
      <w:pPr>
        <w:pBdr>
          <w:top w:space="5"/>
          <w:left w:space="5"/>
          <w:bottom w:space="5"/>
          <w:right w:space="5"/>
        </w:pBdr>
        <w:spacing w:after="0"/>
        <w:ind w:left="1305"/>
        <w:jc w:val="left"/>
      </w:pPr>
      <w:r>
        <w:rPr>
          <w:rFonts w:ascii="Times New Roman" w:hAnsi="Times New Roman"/>
          <w:b w:val="false"/>
          <w:i w:val="false"/>
          <w:color w:val="000000"/>
          <w:sz w:val="22"/>
        </w:rPr>
        <w:t>(B) DAWIA Level III certified in Contracting; and,</w:t>
      </w:r>
    </w:p>
    <w:p>
      <w:pPr>
        <w:pBdr>
          <w:top w:space="5"/>
          <w:left w:space="5"/>
          <w:bottom w:space="5"/>
          <w:right w:space="5"/>
        </w:pBdr>
        <w:spacing w:after="0"/>
        <w:ind w:left="1305"/>
        <w:jc w:val="left"/>
      </w:pPr>
      <w:r>
        <w:rPr>
          <w:rFonts w:ascii="Times New Roman" w:hAnsi="Times New Roman"/>
          <w:b w:val="false"/>
          <w:i w:val="false"/>
          <w:color w:val="000000"/>
          <w:sz w:val="22"/>
        </w:rPr>
        <w:t>(C) Current in completion of Continuous Learning Points (CLPs)</w:t>
      </w:r>
    </w:p>
    <w:p>
      <w:pPr>
        <w:pBdr>
          <w:top w:space="5"/>
          <w:left w:space="5"/>
          <w:bottom w:space="5"/>
          <w:right w:space="5"/>
        </w:pBdr>
        <w:spacing w:after="0"/>
        <w:ind w:left="945"/>
        <w:jc w:val="left"/>
      </w:pPr>
      <w:r>
        <w:rPr>
          <w:rFonts w:ascii="Times New Roman" w:hAnsi="Times New Roman"/>
          <w:b w:val="false"/>
          <w:i w:val="false"/>
          <w:color w:val="000000"/>
          <w:sz w:val="22"/>
        </w:rPr>
        <w:t>(ii)(A) Designations authorizing exercise of restricted HCA contracting authority require that the designees is—</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u w:val="single"/>
        </w:rPr>
        <w:t>1</w:t>
      </w:r>
      <w:r>
        <w:rPr>
          <w:rFonts w:ascii="Times New Roman" w:hAnsi="Times New Roman"/>
          <w:b w:val="false"/>
          <w:i w:val="false"/>
          <w:color w:val="000000"/>
          <w:sz w:val="22"/>
        </w:rPr>
        <w:t>) A GS-15;</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u w:val="single"/>
        </w:rPr>
        <w:t>2</w:t>
      </w:r>
      <w:r>
        <w:rPr>
          <w:rFonts w:ascii="Times New Roman" w:hAnsi="Times New Roman"/>
          <w:b w:val="false"/>
          <w:i w:val="false"/>
          <w:color w:val="000000"/>
          <w:sz w:val="22"/>
        </w:rPr>
        <w:t>) DAWIA Level III certified in Contracting; and</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u w:val="single"/>
        </w:rPr>
        <w:t>3</w:t>
      </w:r>
      <w:r>
        <w:rPr>
          <w:rFonts w:ascii="Times New Roman" w:hAnsi="Times New Roman"/>
          <w:b w:val="false"/>
          <w:i w:val="false"/>
          <w:color w:val="000000"/>
          <w:sz w:val="22"/>
        </w:rPr>
        <w:t>) Current in completion of CLPs.</w:t>
      </w:r>
    </w:p>
    <w:p>
      <w:pPr>
        <w:pBdr>
          <w:top w:space="5"/>
          <w:left w:space="5"/>
          <w:bottom w:space="5"/>
          <w:right w:space="5"/>
        </w:pBdr>
        <w:spacing w:after="0"/>
        <w:ind w:left="1305"/>
        <w:jc w:val="left"/>
      </w:pPr>
      <w:r>
        <w:rPr>
          <w:rFonts w:ascii="Times New Roman" w:hAnsi="Times New Roman"/>
          <w:b w:val="false"/>
          <w:i w:val="false"/>
          <w:color w:val="000000"/>
          <w:sz w:val="22"/>
        </w:rPr>
        <w:t xml:space="preserve">(B) This type of designation is for MSCs that do not have an SES in the HCA role. The DLA Acquisition Director will clearly define the restrictions in the designation memorandum. The restrictions include, but are not limited to, actions not delegable below the HCA level, such as ratifications above the SAT (FAR 1.602-3(b)(2)); or actions delegable only to the GO/FO/SES level, such as those related to Procurement Integrity Act violations (FAR 3.104-7(b) and (g)). See the Signature Matrix at the </w:t>
      </w:r>
      <w:hyperlink r:id="Rfe3b4429a06c47d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Acquisition – J7</w:t>
        </w:r>
      </w:hyperlink>
      <w:r>
        <w:rPr>
          <w:rFonts w:ascii="Times New Roman" w:hAnsi="Times New Roman"/>
          <w:b w:val="false"/>
          <w:i w:val="false"/>
          <w:color w:val="000000"/>
          <w:sz w:val="22"/>
        </w:rPr>
        <w:t xml:space="preserve">SharePoint site </w:t>
      </w:r>
      <w:r>
        <w:rPr>
          <w:rFonts w:ascii="Times New Roman" w:hAnsi="Times New Roman"/>
          <w:b w:val="false"/>
          <w:i w:val="false"/>
          <w:color w:val="000000"/>
          <w:sz w:val="22"/>
          <w:u w:val="single"/>
        </w:rPr>
        <w:t>(https://dlamil.dps.mil/Sites/Acquisition/Pages/default.aspx)</w:t>
      </w:r>
      <w:r>
        <w:rPr>
          <w:rFonts w:ascii="Times New Roman" w:hAnsi="Times New Roman"/>
          <w:b w:val="false"/>
          <w:i w:val="false"/>
          <w:color w:val="000000"/>
          <w:sz w:val="22"/>
        </w:rPr>
        <w:t xml:space="preserve"> for a complete list of required approval levels and delegation limitations.</w:t>
      </w:r>
    </w:p>
    <w:p>
      <w:pPr>
        <w:pBdr>
          <w:top w:space="5"/>
          <w:left w:space="5"/>
          <w:bottom w:space="5"/>
          <w:right w:space="5"/>
        </w:pBdr>
        <w:spacing w:after="0"/>
        <w:ind w:left="225"/>
        <w:jc w:val="left"/>
      </w:pPr>
      <w:r>
        <w:rPr>
          <w:rFonts w:ascii="Times New Roman" w:hAnsi="Times New Roman"/>
          <w:b w:val="false"/>
          <w:i w:val="false"/>
          <w:color w:val="000000"/>
          <w:sz w:val="22"/>
        </w:rPr>
        <w:t>(a)(S-91) When a designated HCA for an MSC is not available to act, the order of elevation is as follows:</w:t>
      </w:r>
    </w:p>
    <w:p>
      <w:pPr>
        <w:pBdr>
          <w:top w:space="5"/>
          <w:left w:space="5"/>
          <w:bottom w:space="5"/>
          <w:right w:space="5"/>
        </w:pBdr>
        <w:spacing w:after="0"/>
        <w:ind w:left="945"/>
        <w:jc w:val="left"/>
      </w:pPr>
      <w:r>
        <w:rPr>
          <w:rFonts w:ascii="Times New Roman" w:hAnsi="Times New Roman"/>
          <w:b w:val="false"/>
          <w:i w:val="false"/>
          <w:color w:val="000000"/>
          <w:sz w:val="22"/>
        </w:rPr>
        <w:t>(i) The Deputy Commander of the MSC will act as the HCA if the Deputy Commander is—</w:t>
      </w:r>
    </w:p>
    <w:p>
      <w:pPr>
        <w:pBdr>
          <w:top w:space="5"/>
          <w:left w:space="5"/>
          <w:bottom w:space="5"/>
          <w:right w:space="5"/>
        </w:pBdr>
        <w:spacing w:after="0"/>
        <w:ind w:left="1305"/>
        <w:jc w:val="left"/>
      </w:pPr>
      <w:r>
        <w:rPr>
          <w:rFonts w:ascii="Times New Roman" w:hAnsi="Times New Roman"/>
          <w:b w:val="false"/>
          <w:i w:val="false"/>
          <w:color w:val="000000"/>
          <w:sz w:val="22"/>
        </w:rPr>
        <w:t>(A) An SES;</w:t>
      </w:r>
    </w:p>
    <w:p>
      <w:pPr>
        <w:pBdr>
          <w:top w:space="5"/>
          <w:left w:space="5"/>
          <w:bottom w:space="5"/>
          <w:right w:space="5"/>
        </w:pBdr>
        <w:spacing w:after="0"/>
        <w:ind w:left="1305"/>
        <w:jc w:val="left"/>
      </w:pPr>
      <w:r>
        <w:rPr>
          <w:rFonts w:ascii="Times New Roman" w:hAnsi="Times New Roman"/>
          <w:b w:val="false"/>
          <w:i w:val="false"/>
          <w:color w:val="000000"/>
          <w:sz w:val="22"/>
        </w:rPr>
        <w:t>(B) DAWIA Level III certified in Contracting; and</w:t>
      </w:r>
    </w:p>
    <w:p>
      <w:pPr>
        <w:pBdr>
          <w:top w:space="5"/>
          <w:left w:space="5"/>
          <w:bottom w:space="5"/>
          <w:right w:space="5"/>
        </w:pBdr>
        <w:spacing w:after="0"/>
        <w:ind w:left="1305"/>
        <w:jc w:val="left"/>
      </w:pPr>
      <w:r>
        <w:rPr>
          <w:rFonts w:ascii="Times New Roman" w:hAnsi="Times New Roman"/>
          <w:b w:val="false"/>
          <w:i w:val="false"/>
          <w:color w:val="000000"/>
          <w:sz w:val="22"/>
        </w:rPr>
        <w:t>(C) Current in completion of CLPs.</w:t>
      </w:r>
    </w:p>
    <w:p>
      <w:pPr>
        <w:pBdr>
          <w:top w:space="5"/>
          <w:left w:space="5"/>
          <w:bottom w:space="5"/>
          <w:right w:space="5"/>
        </w:pBdr>
        <w:spacing w:after="0"/>
        <w:ind w:left="945"/>
        <w:jc w:val="left"/>
      </w:pPr>
      <w:r>
        <w:rPr>
          <w:rFonts w:ascii="Times New Roman" w:hAnsi="Times New Roman"/>
          <w:b w:val="false"/>
          <w:i w:val="false"/>
          <w:color w:val="000000"/>
          <w:sz w:val="22"/>
        </w:rPr>
        <w:t>(ii) When the Deputy Commander of the MSC does not meet the qualifications at (a)(S-91)(i) of this section, or meets the qualifications but is not available to act, the Commander of the MSC will act as the HCA if the Commander is—</w:t>
      </w:r>
    </w:p>
    <w:p>
      <w:pPr>
        <w:pBdr>
          <w:top w:space="5"/>
          <w:left w:space="5"/>
          <w:bottom w:space="5"/>
          <w:right w:space="5"/>
        </w:pBdr>
        <w:spacing w:after="0"/>
        <w:ind w:left="1305"/>
        <w:jc w:val="left"/>
      </w:pPr>
      <w:r>
        <w:rPr>
          <w:rFonts w:ascii="Times New Roman" w:hAnsi="Times New Roman"/>
          <w:b w:val="false"/>
          <w:i w:val="false"/>
          <w:color w:val="000000"/>
          <w:sz w:val="22"/>
        </w:rPr>
        <w:t>(A) A General Officer/Flag Officer or an SES;</w:t>
      </w:r>
    </w:p>
    <w:p>
      <w:pPr>
        <w:pBdr>
          <w:top w:space="5"/>
          <w:left w:space="5"/>
          <w:bottom w:space="5"/>
          <w:right w:space="5"/>
        </w:pBdr>
        <w:spacing w:after="0"/>
        <w:ind w:left="1305"/>
        <w:jc w:val="left"/>
      </w:pPr>
      <w:r>
        <w:rPr>
          <w:rFonts w:ascii="Times New Roman" w:hAnsi="Times New Roman"/>
          <w:b w:val="false"/>
          <w:i w:val="false"/>
          <w:color w:val="000000"/>
          <w:sz w:val="22"/>
        </w:rPr>
        <w:t>(B) DAWIA Level III certified in Contracting; and</w:t>
      </w:r>
    </w:p>
    <w:p>
      <w:pPr>
        <w:pBdr>
          <w:top w:space="5"/>
          <w:left w:space="5"/>
          <w:bottom w:space="5"/>
          <w:right w:space="5"/>
        </w:pBdr>
        <w:spacing w:after="0"/>
        <w:ind w:left="1305"/>
        <w:jc w:val="left"/>
      </w:pPr>
      <w:r>
        <w:rPr>
          <w:rFonts w:ascii="Times New Roman" w:hAnsi="Times New Roman"/>
          <w:b w:val="false"/>
          <w:i w:val="false"/>
          <w:color w:val="000000"/>
          <w:sz w:val="22"/>
        </w:rPr>
        <w:t>(C) Current in completion of CLPs.</w:t>
      </w:r>
    </w:p>
    <w:p>
      <w:pPr>
        <w:pBdr>
          <w:top w:space="5"/>
          <w:left w:space="5"/>
          <w:bottom w:space="5"/>
          <w:right w:space="5"/>
        </w:pBdr>
        <w:spacing w:after="0"/>
        <w:ind w:left="945"/>
        <w:jc w:val="left"/>
      </w:pPr>
      <w:r>
        <w:rPr>
          <w:rFonts w:ascii="Times New Roman" w:hAnsi="Times New Roman"/>
          <w:b w:val="false"/>
          <w:i w:val="false"/>
          <w:color w:val="000000"/>
          <w:sz w:val="22"/>
        </w:rPr>
        <w:t>(iii) The DLA Acquisition Deputy Director will act as the HCA—</w:t>
      </w:r>
    </w:p>
    <w:p>
      <w:pPr>
        <w:pBdr>
          <w:top w:space="5"/>
          <w:left w:space="5"/>
          <w:bottom w:space="5"/>
          <w:right w:space="5"/>
        </w:pBdr>
        <w:spacing w:after="0"/>
        <w:ind w:left="1305"/>
        <w:jc w:val="left"/>
      </w:pPr>
      <w:r>
        <w:rPr>
          <w:rFonts w:ascii="Times New Roman" w:hAnsi="Times New Roman"/>
          <w:b w:val="false"/>
          <w:i w:val="false"/>
          <w:color w:val="000000"/>
          <w:sz w:val="22"/>
        </w:rPr>
        <w:t>(A) If neither the Deputy Commander nor the Commander of the MSC meets the qualifications at (a)(S-91)(i) or (ii) of this section, or meets the qualifications but is not available to act; or</w:t>
      </w:r>
    </w:p>
    <w:p>
      <w:pPr>
        <w:pBdr>
          <w:top w:space="5"/>
          <w:left w:space="5"/>
          <w:bottom w:space="5"/>
          <w:right w:space="5"/>
        </w:pBdr>
        <w:spacing w:after="0"/>
        <w:ind w:left="1305"/>
        <w:jc w:val="left"/>
      </w:pPr>
      <w:r>
        <w:rPr>
          <w:rFonts w:ascii="Times New Roman" w:hAnsi="Times New Roman"/>
          <w:b w:val="false"/>
          <w:i w:val="false"/>
          <w:color w:val="000000"/>
          <w:sz w:val="22"/>
        </w:rPr>
        <w:t>(B) In the absence of the SPE for authorities retained by the SPE under a designation of restricted HCA contracting authority (see (a)(S-90)(ii) of this section).</w:t>
      </w:r>
    </w:p>
    <w:p>
      <w:pPr>
        <w:pBdr>
          <w:top w:space="5"/>
          <w:left w:space="5"/>
          <w:bottom w:space="5"/>
          <w:right w:space="5"/>
        </w:pBdr>
        <w:spacing w:after="0"/>
        <w:ind w:left="945"/>
        <w:jc w:val="left"/>
      </w:pPr>
      <w:r>
        <w:rPr>
          <w:rFonts w:ascii="Times New Roman" w:hAnsi="Times New Roman"/>
          <w:b w:val="false"/>
          <w:i w:val="false"/>
          <w:color w:val="000000"/>
          <w:sz w:val="22"/>
        </w:rPr>
        <w:t>(iv) The DLA SPE (including the DLA Vice Director when acting as SPE in the absence of the DLA SPE) will act as the HCA in the absence of—</w:t>
      </w:r>
    </w:p>
    <w:p>
      <w:pPr>
        <w:pBdr>
          <w:top w:space="5"/>
          <w:left w:space="5"/>
          <w:bottom w:space="5"/>
          <w:right w:space="5"/>
        </w:pBdr>
        <w:spacing w:after="0"/>
        <w:ind w:left="1305"/>
        <w:jc w:val="left"/>
      </w:pPr>
      <w:r>
        <w:rPr>
          <w:rFonts w:ascii="Times New Roman" w:hAnsi="Times New Roman"/>
          <w:b w:val="false"/>
          <w:i w:val="false"/>
          <w:color w:val="000000"/>
          <w:sz w:val="22"/>
        </w:rPr>
        <w:t>(A) An MSC HCA and any qualified acting MSC HCA as listed above; or</w:t>
      </w:r>
    </w:p>
    <w:p>
      <w:pPr>
        <w:pBdr>
          <w:top w:space="5"/>
          <w:left w:space="5"/>
          <w:bottom w:space="5"/>
          <w:right w:space="5"/>
        </w:pBdr>
        <w:spacing w:after="0"/>
        <w:ind w:left="1305"/>
        <w:jc w:val="left"/>
      </w:pPr>
      <w:r>
        <w:rPr>
          <w:rFonts w:ascii="Times New Roman" w:hAnsi="Times New Roman"/>
          <w:b w:val="false"/>
          <w:i w:val="false"/>
          <w:color w:val="000000"/>
          <w:sz w:val="22"/>
        </w:rPr>
        <w:t>(B) The HCA for procuring organizations for which the DLA Acquisition Deputy Director is HCA.</w:t>
      </w:r>
    </w:p>
    <!-- Created by docx4j 6.1.2 (Apache licensed) using REFERENCE JAXB in Oracle Java 15 on Linux -->
    <w:p>
      <w:pPr>
        <w:pStyle w:val="Heading3"/>
        <w:spacing w:after="199"/>
        <w:ind w:left="120"/>
        <w:jc w:val="left"/>
      </w:pPr>
      <w:bookmarkStart w:name="DLAD_PGI_1_602-3" w:id="3"/>
      <w:r>
        <w:rPr>
          <w:rFonts w:ascii="Times New Roman" w:hAnsi="Times New Roman"/>
          <w:color w:val="000000"/>
          <w:sz w:val="31"/>
        </w:rPr>
        <w:t>PGI 1.602-3</w:t>
      </w:r>
      <w:r>
        <w:rPr>
          <w:rFonts w:ascii="Times New Roman" w:hAnsi="Times New Roman"/>
          <w:color w:val="000000"/>
          <w:sz w:val="31"/>
        </w:rPr>
        <w:t xml:space="preserve"> Ratification of unauthorized commitments.</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(c) Use the following checklist as prescribed at </w:t>
      </w:r>
      <w:hyperlink w:anchor="DLAD_1_602-3">
        <w:r>
          <w:rPr>
            <w:rStyle w:val="Hyperlink"/>
            <w:rFonts w:ascii="Times New Roman" w:hAnsi="Times New Roman"/>
            <w:b w:val="false"/>
            <w:i w:val="false"/>
            <w:color w:val="0000ff"/>
            <w:sz w:val="22"/>
            <w:u w:val="single"/>
          </w:rPr>
          <w:t>1.602-3</w:t>
        </w:r>
      </w:hyperlink>
      <w:r>
        <w:rPr>
          <w:rFonts w:ascii="Times New Roman" w:hAnsi="Times New Roman"/>
          <w:b w:val="false"/>
          <w:i w:val="false"/>
          <w:color w:val="000000"/>
          <w:sz w:val="22"/>
          <w:u w:val="single"/>
        </w:rPr>
        <w:t>(c)(S-90):</w:t>
      </w:r>
    </w:p>
    <w:p>
      <w:pPr>
        <w:pBdr>
          <w:top w:space="5"/>
          <w:left w:space="5"/>
          <w:bottom w:space="5"/>
          <w:right w:space="5"/>
        </w:pBdr>
        <w:spacing w:after="0"/>
        <w:ind w:left="225"/>
        <w:jc w:val="center"/>
      </w:pPr>
      <w:r>
        <w:rPr>
          <w:rFonts w:ascii="Times New Roman" w:hAnsi="Times New Roman"/>
          <w:b/>
          <w:i w:val="false"/>
          <w:color w:val="000000"/>
          <w:sz w:val="22"/>
        </w:rPr>
        <w:t>Ratification of Unauthorized Commitments Checklist</w:t>
      </w:r>
    </w:p>
    <w:p>
      <w:pPr>
        <w:pBdr>
          <w:top w:space="5"/>
          <w:left w:space="5"/>
          <w:bottom w:space="5"/>
          <w:right w:space="5"/>
        </w:pBdr>
        <w:spacing w:after="0"/>
        <w:ind w:left="225"/>
        <w:jc w:val="left"/>
      </w:pPr>
      <w:r>
        <w:rPr>
          <w:rFonts w:ascii="Times New Roman" w:hAnsi="Times New Roman"/>
          <w:b w:val="false"/>
          <w:i w:val="false"/>
          <w:color w:val="000000"/>
          <w:sz w:val="22"/>
        </w:rPr>
        <w:t>I. Responsibilities of the contracting office that made the unauthorized commitment:</w:t>
      </w:r>
    </w:p>
    <w:p>
      <w:pPr>
        <w:pBdr>
          <w:top w:space="5"/>
          <w:left w:space="5"/>
          <w:bottom w:space="5"/>
          <w:right w:space="5"/>
        </w:pBdr>
        <w:spacing w:after="0"/>
        <w:ind w:left="225"/>
        <w:jc w:val="left"/>
      </w:pPr>
      <w:r>
        <w:rPr>
          <w:rFonts w:ascii="Times New Roman" w:hAnsi="Times New Roman"/>
          <w:b w:val="false"/>
          <w:i w:val="false"/>
          <w:color w:val="000000"/>
          <w:sz w:val="22"/>
        </w:rPr>
        <w:t>1. [ ] Provide a signed statement addressing the following:</w:t>
      </w:r>
    </w:p>
    <w:p>
      <w:pPr>
        <w:pBdr>
          <w:top w:space="5"/>
          <w:left w:space="5"/>
          <w:bottom w:space="5"/>
          <w:right w:space="5"/>
        </w:pBdr>
        <w:spacing w:after="0"/>
        <w:ind w:left="225"/>
        <w:jc w:val="left"/>
      </w:pPr>
      <w:r>
        <w:rPr>
          <w:rFonts w:ascii="Times New Roman" w:hAnsi="Times New Roman"/>
          <w:b w:val="false"/>
          <w:i w:val="false"/>
          <w:color w:val="000000"/>
          <w:sz w:val="22"/>
        </w:rPr>
        <w:t>a. [ ] Circumstances that led to the unauthorized commitment;</w:t>
      </w:r>
    </w:p>
    <w:p>
      <w:pPr>
        <w:pBdr>
          <w:top w:space="5"/>
          <w:left w:space="5"/>
          <w:bottom w:space="5"/>
          <w:right w:space="5"/>
        </w:pBdr>
        <w:spacing w:after="0"/>
        <w:ind w:left="225"/>
        <w:jc w:val="left"/>
      </w:pPr>
      <w:r>
        <w:rPr>
          <w:rFonts w:ascii="Times New Roman" w:hAnsi="Times New Roman"/>
          <w:b w:val="false"/>
          <w:i w:val="false"/>
          <w:color w:val="000000"/>
          <w:sz w:val="22"/>
        </w:rPr>
        <w:t>b. [ ] Name of the employee who made the commitment;</w:t>
      </w:r>
    </w:p>
    <w:p>
      <w:pPr>
        <w:pBdr>
          <w:top w:space="5"/>
          <w:left w:space="5"/>
          <w:bottom w:space="5"/>
          <w:right w:space="5"/>
        </w:pBdr>
        <w:spacing w:after="0"/>
        <w:ind w:left="225"/>
        <w:jc w:val="left"/>
      </w:pPr>
      <w:r>
        <w:rPr>
          <w:rFonts w:ascii="Times New Roman" w:hAnsi="Times New Roman"/>
          <w:b w:val="false"/>
          <w:i w:val="false"/>
          <w:color w:val="000000"/>
          <w:sz w:val="22"/>
        </w:rPr>
        <w:t>c. [ ] Date of commitment;</w:t>
      </w:r>
    </w:p>
    <w:p>
      <w:pPr>
        <w:pBdr>
          <w:top w:space="5"/>
          <w:left w:space="5"/>
          <w:bottom w:space="5"/>
          <w:right w:space="5"/>
        </w:pBdr>
        <w:spacing w:after="0"/>
        <w:ind w:left="225"/>
        <w:jc w:val="left"/>
      </w:pPr>
      <w:r>
        <w:rPr>
          <w:rFonts w:ascii="Times New Roman" w:hAnsi="Times New Roman"/>
          <w:b w:val="false"/>
          <w:i w:val="false"/>
          <w:color w:val="000000"/>
          <w:sz w:val="22"/>
        </w:rPr>
        <w:t>d. [ ] Government requirement that necessitated the commitment;</w:t>
      </w:r>
    </w:p>
    <w:p>
      <w:pPr>
        <w:pBdr>
          <w:top w:space="5"/>
          <w:left w:space="5"/>
          <w:bottom w:space="5"/>
          <w:right w:space="5"/>
        </w:pBdr>
        <w:spacing w:after="0"/>
        <w:ind w:left="225"/>
        <w:jc w:val="left"/>
      </w:pPr>
      <w:r>
        <w:rPr>
          <w:rFonts w:ascii="Times New Roman" w:hAnsi="Times New Roman"/>
          <w:b w:val="false"/>
          <w:i w:val="false"/>
          <w:color w:val="000000"/>
          <w:sz w:val="22"/>
        </w:rPr>
        <w:t>e. [ ] Reason(s) employee did not follow normal procurement procedures;</w:t>
      </w:r>
    </w:p>
    <w:p>
      <w:pPr>
        <w:pBdr>
          <w:top w:space="5"/>
          <w:left w:space="5"/>
          <w:bottom w:space="5"/>
          <w:right w:space="5"/>
        </w:pBdr>
        <w:spacing w:after="0"/>
        <w:ind w:left="225"/>
        <w:jc w:val="left"/>
      </w:pPr>
      <w:r>
        <w:rPr>
          <w:rFonts w:ascii="Times New Roman" w:hAnsi="Times New Roman"/>
          <w:b w:val="false"/>
          <w:i w:val="false"/>
          <w:color w:val="000000"/>
          <w:sz w:val="22"/>
        </w:rPr>
        <w:t>f. [ ] Whether the Government derived any benefit from the goods or services received;</w:t>
      </w:r>
    </w:p>
    <w:p>
      <w:pPr>
        <w:pBdr>
          <w:top w:space="5"/>
          <w:left w:space="5"/>
          <w:bottom w:space="5"/>
          <w:right w:space="5"/>
        </w:pBdr>
        <w:spacing w:after="0"/>
        <w:ind w:left="225"/>
        <w:jc w:val="left"/>
      </w:pPr>
      <w:r>
        <w:rPr>
          <w:rFonts w:ascii="Times New Roman" w:hAnsi="Times New Roman"/>
          <w:b w:val="false"/>
          <w:i w:val="false"/>
          <w:color w:val="000000"/>
          <w:sz w:val="22"/>
        </w:rPr>
        <w:t>g. [ ] Cost of the goods or services; and</w:t>
      </w:r>
    </w:p>
    <w:p>
      <w:pPr>
        <w:pBdr>
          <w:top w:space="5"/>
          <w:left w:space="5"/>
          <w:bottom w:space="5"/>
          <w:right w:space="5"/>
        </w:pBdr>
        <w:spacing w:after="0"/>
        <w:ind w:left="225"/>
        <w:jc w:val="left"/>
      </w:pPr>
      <w:r>
        <w:rPr>
          <w:rFonts w:ascii="Times New Roman" w:hAnsi="Times New Roman"/>
          <w:b w:val="false"/>
          <w:i w:val="false"/>
          <w:color w:val="000000"/>
          <w:sz w:val="22"/>
        </w:rPr>
        <w:t>h. [ ] Any other pertinent facts.</w:t>
      </w:r>
    </w:p>
    <w:p>
      <w:pPr>
        <w:pBdr>
          <w:top w:space="5"/>
          <w:left w:space="5"/>
          <w:bottom w:space="5"/>
          <w:right w:space="5"/>
        </w:pBdr>
        <w:spacing w:after="0"/>
        <w:ind w:left="225"/>
        <w:jc w:val="left"/>
      </w:pPr>
      <w:r>
        <w:rPr>
          <w:rFonts w:ascii="Times New Roman" w:hAnsi="Times New Roman"/>
          <w:b w:val="false"/>
          <w:i w:val="false"/>
          <w:color w:val="000000"/>
          <w:sz w:val="22"/>
        </w:rPr>
        <w:t>2. [ ] Provide all orders, original invoices, and other documentary evidence of the transaction.</w:t>
      </w:r>
    </w:p>
    <w:p>
      <w:pPr>
        <w:pBdr>
          <w:top w:space="5"/>
          <w:left w:space="5"/>
          <w:bottom w:space="5"/>
          <w:right w:space="5"/>
        </w:pBdr>
        <w:spacing w:after="0"/>
        <w:ind w:left="225"/>
        <w:jc w:val="left"/>
      </w:pPr>
      <w:r>
        <w:rPr>
          <w:rFonts w:ascii="Times New Roman" w:hAnsi="Times New Roman"/>
          <w:b w:val="false"/>
          <w:i w:val="false"/>
          <w:color w:val="000000"/>
          <w:sz w:val="22"/>
        </w:rPr>
        <w:t>II. Responsibilities of the supervisor of the employee who made the unauthorized commitment:</w:t>
      </w:r>
    </w:p>
    <w:p>
      <w:pPr>
        <w:pBdr>
          <w:top w:space="5"/>
          <w:left w:space="5"/>
          <w:bottom w:space="5"/>
          <w:right w:space="5"/>
        </w:pBdr>
        <w:spacing w:after="0"/>
        <w:ind w:left="225"/>
        <w:jc w:val="left"/>
      </w:pPr>
      <w:r>
        <w:rPr>
          <w:rFonts w:ascii="Times New Roman" w:hAnsi="Times New Roman"/>
          <w:b w:val="false"/>
          <w:i w:val="false"/>
          <w:color w:val="000000"/>
          <w:sz w:val="22"/>
        </w:rPr>
        <w:t>1. [ ] Provide an endorsement to the contracting officer concurring with the recommendation to ratify. Include the following:</w:t>
      </w:r>
    </w:p>
    <w:p>
      <w:pPr>
        <w:pBdr>
          <w:top w:space="5"/>
          <w:left w:space="5"/>
          <w:bottom w:space="5"/>
          <w:right w:space="5"/>
        </w:pBdr>
        <w:spacing w:after="0"/>
        <w:ind w:left="225"/>
        <w:jc w:val="left"/>
      </w:pPr>
      <w:r>
        <w:rPr>
          <w:rFonts w:ascii="Times New Roman" w:hAnsi="Times New Roman"/>
          <w:b w:val="false"/>
          <w:i w:val="false"/>
          <w:color w:val="000000"/>
          <w:sz w:val="22"/>
        </w:rPr>
        <w:t>a. [ ] Verification the documentation is accurate and complete.</w:t>
      </w:r>
    </w:p>
    <w:p>
      <w:pPr>
        <w:pBdr>
          <w:top w:space="5"/>
          <w:left w:space="5"/>
          <w:bottom w:space="5"/>
          <w:right w:space="5"/>
        </w:pBdr>
        <w:spacing w:after="0"/>
        <w:ind w:left="225"/>
        <w:jc w:val="left"/>
      </w:pPr>
      <w:r>
        <w:rPr>
          <w:rFonts w:ascii="Times New Roman" w:hAnsi="Times New Roman"/>
          <w:b w:val="false"/>
          <w:i w:val="false"/>
          <w:color w:val="000000"/>
          <w:sz w:val="22"/>
        </w:rPr>
        <w:t>b. [ ] Documentation of corrective action(s) taken or proposed to prevent a recurrence.</w:t>
      </w:r>
    </w:p>
    <w:p>
      <w:pPr>
        <w:pBdr>
          <w:top w:space="5"/>
          <w:left w:space="5"/>
          <w:bottom w:space="5"/>
          <w:right w:space="5"/>
        </w:pBdr>
        <w:spacing w:after="0"/>
        <w:ind w:left="225"/>
        <w:jc w:val="left"/>
      </w:pPr>
      <w:r>
        <w:rPr>
          <w:rFonts w:ascii="Times New Roman" w:hAnsi="Times New Roman"/>
          <w:b w:val="false"/>
          <w:i w:val="false"/>
          <w:color w:val="000000"/>
          <w:sz w:val="22"/>
        </w:rPr>
        <w:t>2. [ ] Provide complete purchase request and appropriate funding, with documentation—</w:t>
      </w:r>
    </w:p>
    <w:p>
      <w:pPr>
        <w:pBdr>
          <w:top w:space="5"/>
          <w:left w:space="5"/>
          <w:bottom w:space="5"/>
          <w:right w:space="5"/>
        </w:pBdr>
        <w:spacing w:after="0"/>
        <w:ind w:left="225"/>
        <w:jc w:val="left"/>
      </w:pPr>
      <w:r>
        <w:rPr>
          <w:rFonts w:ascii="Times New Roman" w:hAnsi="Times New Roman"/>
          <w:b w:val="false"/>
          <w:i w:val="false"/>
          <w:color w:val="000000"/>
          <w:sz w:val="22"/>
        </w:rPr>
        <w:t>a. [ ] Supporting the funding decision; and</w:t>
      </w:r>
    </w:p>
    <w:p>
      <w:pPr>
        <w:pBdr>
          <w:top w:space="5"/>
          <w:left w:space="5"/>
          <w:bottom w:space="5"/>
          <w:right w:space="5"/>
        </w:pBdr>
        <w:spacing w:after="0"/>
        <w:ind w:left="225"/>
        <w:jc w:val="left"/>
      </w:pPr>
      <w:r>
        <w:rPr>
          <w:rFonts w:ascii="Times New Roman" w:hAnsi="Times New Roman"/>
          <w:b w:val="false"/>
          <w:i w:val="false"/>
          <w:color w:val="000000"/>
          <w:sz w:val="22"/>
        </w:rPr>
        <w:t>b. [ ] Consultation with Office of Counsel, if applicable.</w:t>
      </w:r>
    </w:p>
    <w:p>
      <w:pPr>
        <w:pBdr>
          <w:top w:space="5"/>
          <w:left w:space="5"/>
          <w:bottom w:space="5"/>
          <w:right w:space="5"/>
        </w:pBdr>
        <w:spacing w:after="0"/>
        <w:ind w:left="225"/>
        <w:jc w:val="left"/>
      </w:pPr>
      <w:r>
        <w:rPr>
          <w:rFonts w:ascii="Times New Roman" w:hAnsi="Times New Roman"/>
          <w:b w:val="false"/>
          <w:i w:val="false"/>
          <w:color w:val="000000"/>
          <w:sz w:val="22"/>
        </w:rPr>
        <w:t>The obligation is generally chargeable to the fiscal year when the unauthorized commitment occurred; or, if such funds are unavailable, from currently available funds.</w:t>
      </w:r>
    </w:p>
    <w:p>
      <w:pPr>
        <w:pBdr>
          <w:top w:space="5"/>
          <w:left w:space="5"/>
          <w:bottom w:space="5"/>
          <w:right w:space="5"/>
        </w:pBdr>
        <w:spacing w:after="0"/>
        <w:ind w:left="225"/>
        <w:jc w:val="left"/>
      </w:pPr>
      <w:r>
        <w:rPr>
          <w:rFonts w:ascii="Times New Roman" w:hAnsi="Times New Roman"/>
          <w:b w:val="false"/>
          <w:i w:val="false"/>
          <w:color w:val="000000"/>
          <w:sz w:val="22"/>
        </w:rPr>
        <w:t>III. Responsibilities of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1. Prepare a determination and findings (D&amp;F). Include the following:</w:t>
      </w:r>
    </w:p>
    <w:p>
      <w:pPr>
        <w:pBdr>
          <w:top w:space="5"/>
          <w:left w:space="5"/>
          <w:bottom w:space="5"/>
          <w:right w:space="5"/>
        </w:pBdr>
        <w:spacing w:after="0"/>
        <w:ind w:left="225"/>
        <w:jc w:val="left"/>
      </w:pPr>
      <w:r>
        <w:rPr>
          <w:rFonts w:ascii="Times New Roman" w:hAnsi="Times New Roman"/>
          <w:b w:val="false"/>
          <w:i w:val="false"/>
          <w:color w:val="000000"/>
          <w:sz w:val="22"/>
        </w:rPr>
        <w:t>a. [ ] Summary statement of facts;</w:t>
      </w:r>
    </w:p>
    <w:p>
      <w:pPr>
        <w:pBdr>
          <w:top w:space="5"/>
          <w:left w:space="5"/>
          <w:bottom w:space="5"/>
          <w:right w:space="5"/>
        </w:pBdr>
        <w:spacing w:after="0"/>
        <w:ind w:left="225"/>
        <w:jc w:val="left"/>
      </w:pPr>
      <w:r>
        <w:rPr>
          <w:rFonts w:ascii="Times New Roman" w:hAnsi="Times New Roman"/>
          <w:b w:val="false"/>
          <w:i w:val="false"/>
          <w:color w:val="000000"/>
          <w:sz w:val="22"/>
        </w:rPr>
        <w:t>b. [ ] Office of Counsel coordination;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c. [ ] Recommendation for approval of ratification action or other disposition (see </w:t>
      </w:r>
      <w:hyperlink w:anchor="DLAD_1_602-3">
        <w:r>
          <w:rPr>
            <w:rStyle w:val="Hyperlink"/>
            <w:rFonts w:ascii="Times New Roman" w:hAnsi="Times New Roman"/>
            <w:b w:val="false"/>
            <w:i w:val="false"/>
            <w:color w:val="0000ff"/>
            <w:sz w:val="22"/>
            <w:u w:val="single"/>
          </w:rPr>
          <w:t>1.602-3</w:t>
        </w:r>
      </w:hyperlink>
      <w:r>
        <w:rPr>
          <w:rFonts w:ascii="Times New Roman" w:hAnsi="Times New Roman"/>
          <w:b w:val="false"/>
          <w:i w:val="false"/>
          <w:color w:val="000000"/>
          <w:sz w:val="22"/>
          <w:u w:val="single"/>
        </w:rPr>
        <w:t>(d)</w:t>
      </w:r>
      <w:r>
        <w:rPr>
          <w:rFonts w:ascii="Times New Roman" w:hAnsi="Times New Roman"/>
          <w:b w:val="false"/>
          <w:i w:val="false"/>
          <w:color w:val="000000"/>
          <w:sz w:val="22"/>
        </w:rPr>
        <w:t xml:space="preserve"> if requesting relief on a quantum meruit basis);</w:t>
      </w:r>
    </w:p>
    <w:p>
      <w:pPr>
        <w:pBdr>
          <w:top w:space="5"/>
          <w:left w:space="5"/>
          <w:bottom w:space="5"/>
          <w:right w:space="5"/>
        </w:pBdr>
        <w:spacing w:after="0"/>
        <w:ind w:left="225"/>
        <w:jc w:val="left"/>
      </w:pPr>
      <w:r>
        <w:rPr>
          <w:rFonts w:ascii="Times New Roman" w:hAnsi="Times New Roman"/>
          <w:b w:val="false"/>
          <w:i w:val="false"/>
          <w:color w:val="000000"/>
          <w:sz w:val="22"/>
        </w:rPr>
        <w:t>d. [ ] Documentation of corrective action(s) taken or proposed to prevent a recurrence; and</w:t>
      </w:r>
    </w:p>
    <w:p>
      <w:pPr>
        <w:pBdr>
          <w:top w:space="5"/>
          <w:left w:space="5"/>
          <w:bottom w:space="5"/>
          <w:right w:space="5"/>
        </w:pBdr>
        <w:spacing w:after="0"/>
        <w:ind w:left="225"/>
        <w:jc w:val="left"/>
      </w:pPr>
      <w:r>
        <w:rPr>
          <w:rFonts w:ascii="Times New Roman" w:hAnsi="Times New Roman"/>
          <w:b w:val="false"/>
          <w:i w:val="false"/>
          <w:color w:val="000000"/>
          <w:sz w:val="22"/>
        </w:rPr>
        <w:t>e. [ ] Documentation affirming the circumstances meet the following limitations in FAR 1.602-3(c):</w:t>
      </w:r>
    </w:p>
    <w:p>
      <w:pPr>
        <w:pBdr>
          <w:top w:space="5"/>
          <w:left w:space="5"/>
          <w:bottom w:space="5"/>
          <w:right w:space="5"/>
        </w:pBdr>
        <w:spacing w:after="0"/>
        <w:ind w:left="945"/>
        <w:jc w:val="left"/>
      </w:pPr>
      <w:r>
        <w:rPr>
          <w:rFonts w:ascii="Times New Roman" w:hAnsi="Times New Roman"/>
          <w:b w:val="false"/>
          <w:i w:val="false"/>
          <w:color w:val="000000"/>
          <w:sz w:val="22"/>
        </w:rPr>
        <w:t>(i) [ ] The contractor provided supplies or services to the Government, and the Government accepted those supplies or services; or the Government otherwise obtained or will obtain a benefit resulting from performance of the unauthorized commitment.</w:t>
      </w:r>
    </w:p>
    <w:p>
      <w:pPr>
        <w:pBdr>
          <w:top w:space="5"/>
          <w:left w:space="5"/>
          <w:bottom w:space="5"/>
          <w:right w:space="5"/>
        </w:pBdr>
        <w:spacing w:after="0"/>
        <w:ind w:left="945"/>
        <w:jc w:val="left"/>
      </w:pPr>
      <w:r>
        <w:rPr>
          <w:rFonts w:ascii="Times New Roman" w:hAnsi="Times New Roman"/>
          <w:b w:val="false"/>
          <w:i w:val="false"/>
          <w:color w:val="000000"/>
          <w:sz w:val="22"/>
        </w:rPr>
        <w:t>(ii) [ ] The ratifying official has the authority to enter into a contractual commitment.</w:t>
      </w:r>
    </w:p>
    <w:p>
      <w:pPr>
        <w:pBdr>
          <w:top w:space="5"/>
          <w:left w:space="5"/>
          <w:bottom w:space="5"/>
          <w:right w:space="5"/>
        </w:pBdr>
        <w:spacing w:after="0"/>
        <w:ind w:left="945"/>
        <w:jc w:val="left"/>
      </w:pPr>
      <w:r>
        <w:rPr>
          <w:rFonts w:ascii="Times New Roman" w:hAnsi="Times New Roman"/>
          <w:b w:val="false"/>
          <w:i w:val="false"/>
          <w:color w:val="000000"/>
          <w:sz w:val="22"/>
        </w:rPr>
        <w:t>(iii) [ ] The resulting contract would otherwise have been proper if made by an appropriate contracting officer. The Government was not otherwise precluded by law from procuring the supplies or services.</w:t>
      </w:r>
    </w:p>
    <w:p>
      <w:pPr>
        <w:pBdr>
          <w:top w:space="5"/>
          <w:left w:space="5"/>
          <w:bottom w:space="5"/>
          <w:right w:space="5"/>
        </w:pBdr>
        <w:spacing w:after="0"/>
        <w:ind w:left="945"/>
        <w:jc w:val="left"/>
      </w:pPr>
      <w:r>
        <w:rPr>
          <w:rFonts w:ascii="Times New Roman" w:hAnsi="Times New Roman"/>
          <w:b w:val="false"/>
          <w:i w:val="false"/>
          <w:color w:val="000000"/>
          <w:sz w:val="22"/>
        </w:rPr>
        <w:t>(iv) [ ] The contracting officer reviewing the unauthorized commitment determines the price to be fair and reasonable.</w:t>
      </w:r>
    </w:p>
    <w:p>
      <w:pPr>
        <w:pBdr>
          <w:top w:space="5"/>
          <w:left w:space="5"/>
          <w:bottom w:space="5"/>
          <w:right w:space="5"/>
        </w:pBdr>
        <w:spacing w:after="0"/>
        <w:ind w:left="945"/>
        <w:jc w:val="left"/>
      </w:pPr>
      <w:r>
        <w:rPr>
          <w:rFonts w:ascii="Times New Roman" w:hAnsi="Times New Roman"/>
          <w:b w:val="false"/>
          <w:i w:val="false"/>
          <w:color w:val="000000"/>
          <w:sz w:val="22"/>
        </w:rPr>
        <w:t>(v) [ ] Payment is not for unallowable costs.</w:t>
      </w:r>
    </w:p>
    <w:p>
      <w:pPr>
        <w:pBdr>
          <w:top w:space="5"/>
          <w:left w:space="5"/>
          <w:bottom w:space="5"/>
          <w:right w:space="5"/>
        </w:pBdr>
        <w:spacing w:after="0"/>
        <w:ind w:left="945"/>
        <w:jc w:val="left"/>
      </w:pPr>
      <w:r>
        <w:rPr>
          <w:rFonts w:ascii="Times New Roman" w:hAnsi="Times New Roman"/>
          <w:b w:val="false"/>
          <w:i w:val="false"/>
          <w:color w:val="000000"/>
          <w:sz w:val="22"/>
        </w:rPr>
        <w:t>(vi) [ ] The contracting officer recommends payment.</w:t>
      </w:r>
    </w:p>
    <w:p>
      <w:pPr>
        <w:pBdr>
          <w:top w:space="5"/>
          <w:left w:space="5"/>
          <w:bottom w:space="5"/>
          <w:right w:space="5"/>
        </w:pBdr>
        <w:spacing w:after="0"/>
        <w:ind w:left="945"/>
        <w:jc w:val="left"/>
      </w:pPr>
      <w:r>
        <w:rPr>
          <w:rFonts w:ascii="Times New Roman" w:hAnsi="Times New Roman"/>
          <w:b w:val="false"/>
          <w:i w:val="false"/>
          <w:color w:val="000000"/>
          <w:sz w:val="22"/>
        </w:rPr>
        <w:t>(vii) [ ] Proper type of funds are available and were available at the time the unauthorized commitment was made.</w:t>
      </w:r>
    </w:p>
    <w:p>
      <w:pPr>
        <w:pBdr>
          <w:top w:space="5"/>
          <w:left w:space="5"/>
          <w:bottom w:space="5"/>
          <w:right w:space="5"/>
        </w:pBdr>
        <w:spacing w:after="0"/>
        <w:ind w:left="945"/>
        <w:jc w:val="left"/>
      </w:pPr>
      <w:r>
        <w:rPr>
          <w:rFonts w:ascii="Times New Roman" w:hAnsi="Times New Roman"/>
          <w:b w:val="false"/>
          <w:i w:val="false"/>
          <w:color w:val="000000"/>
          <w:sz w:val="22"/>
        </w:rPr>
        <w:t>(viii) [ ] The ratification is in accordance with any other limitations prescribed under local/regional procedures.</w:t>
      </w:r>
    </w:p>
    <w:p>
      <w:pPr>
        <w:pBdr>
          <w:top w:space="5"/>
          <w:left w:space="5"/>
          <w:bottom w:space="5"/>
          <w:right w:space="5"/>
        </w:pBdr>
        <w:spacing w:after="0"/>
        <w:ind w:left="225"/>
        <w:jc w:val="left"/>
      </w:pPr>
      <w:r>
        <w:rPr>
          <w:rFonts w:ascii="Times New Roman" w:hAnsi="Times New Roman"/>
          <w:b w:val="false"/>
          <w:i w:val="false"/>
          <w:color w:val="000000"/>
          <w:sz w:val="22"/>
        </w:rPr>
        <w:t>(d) Nonratifiable claims.</w:t>
      </w:r>
    </w:p>
    <w:p>
      <w:pPr>
        <w:pBdr>
          <w:top w:space="5"/>
          <w:left w:space="5"/>
          <w:bottom w:space="5"/>
          <w:right w:space="5"/>
        </w:pBdr>
        <w:spacing w:after="0"/>
        <w:ind w:left="225"/>
        <w:jc w:val="left"/>
      </w:pPr>
      <w:r>
        <w:rPr>
          <w:rFonts w:ascii="Times New Roman" w:hAnsi="Times New Roman"/>
          <w:b w:val="false"/>
          <w:i w:val="false"/>
          <w:color w:val="000000"/>
          <w:sz w:val="22"/>
        </w:rPr>
        <w:t xml:space="preserve">Use the following checklist as prescribed at </w:t>
      </w:r>
      <w:hyperlink w:anchor="DLAD_1_602-3">
        <w:r>
          <w:rPr>
            <w:rStyle w:val="Hyperlink"/>
            <w:rFonts w:ascii="Times New Roman" w:hAnsi="Times New Roman"/>
            <w:b w:val="false"/>
            <w:i w:val="false"/>
            <w:color w:val="0000ff"/>
            <w:sz w:val="22"/>
            <w:u w:val="single"/>
          </w:rPr>
          <w:t>1.602-3</w:t>
        </w:r>
      </w:hyperlink>
      <w:hyperlink w:anchor="DLAD_1_602-3">
        <w:r>
          <w:rPr>
            <w:rStyle w:val="Hyperlink"/>
            <w:rFonts w:ascii="Times New Roman" w:hAnsi="Times New Roman"/>
            <w:b w:val="false"/>
            <w:i w:val="false"/>
            <w:color w:val="0000ff"/>
            <w:sz w:val="22"/>
            <w:u w:val="single"/>
          </w:rPr>
          <w:t>Nonratifiable claims</w:t>
        </w:r>
      </w:hyperlink>
      <w:hyperlink w:anchor="DLAD_1_602-3">
        <w:r>
          <w:rPr>
            <w:rStyle w:val="Hyperlink"/>
            <w:rFonts w:ascii="Times New Roman" w:hAnsi="Times New Roman"/>
            <w:b w:val="false"/>
            <w:i w:val="false"/>
            <w:color w:val="0000ff"/>
            <w:sz w:val="22"/>
            <w:u w:val="single"/>
          </w:rPr>
          <w:t>.</w:t>
        </w:r>
      </w:hyperlink>
      <w:r>
        <w:rPr>
          <w:rFonts w:ascii="Times New Roman" w:hAnsi="Times New Roman"/>
          <w:b w:val="false"/>
          <w:i w:val="false"/>
          <w:color w:val="000000"/>
          <w:sz w:val="22"/>
        </w:rPr>
        <w:t>:</w:t>
      </w:r>
    </w:p>
    <w:p>
      <w:pPr>
        <w:pBdr>
          <w:top w:space="5"/>
          <w:left w:space="5"/>
          <w:bottom w:space="5"/>
          <w:right w:space="5"/>
        </w:pBdr>
        <w:spacing w:after="0"/>
        <w:ind w:left="225"/>
        <w:jc w:val="center"/>
      </w:pPr>
      <w:r>
        <w:rPr>
          <w:rFonts w:ascii="Times New Roman" w:hAnsi="Times New Roman"/>
          <w:b/>
          <w:i w:val="false"/>
          <w:color w:val="000000"/>
          <w:sz w:val="22"/>
        </w:rPr>
        <w:t>Quantum Meruit Checklist.</w:t>
      </w:r>
    </w:p>
    <w:p>
      <w:pPr>
        <w:pBdr>
          <w:top w:space="5"/>
          <w:left w:space="5"/>
          <w:bottom w:space="5"/>
          <w:right w:space="5"/>
        </w:pBdr>
        <w:spacing w:after="0"/>
        <w:ind w:left="225"/>
        <w:jc w:val="left"/>
      </w:pPr>
      <w:r>
        <w:rPr>
          <w:rFonts w:ascii="Times New Roman" w:hAnsi="Times New Roman"/>
          <w:b w:val="false"/>
          <w:i w:val="false"/>
          <w:color w:val="000000"/>
          <w:sz w:val="22"/>
        </w:rPr>
        <w:t>I. The contracting officer shall—</w:t>
      </w:r>
    </w:p>
    <w:p>
      <w:pPr>
        <w:pBdr>
          <w:top w:space="5"/>
          <w:left w:space="5"/>
          <w:bottom w:space="5"/>
          <w:right w:space="5"/>
        </w:pBdr>
        <w:spacing w:after="0"/>
        <w:ind w:left="225"/>
        <w:jc w:val="left"/>
      </w:pPr>
      <w:r>
        <w:rPr>
          <w:rFonts w:ascii="Times New Roman" w:hAnsi="Times New Roman"/>
          <w:b w:val="false"/>
          <w:i w:val="false"/>
          <w:color w:val="000000"/>
          <w:sz w:val="22"/>
        </w:rPr>
        <w:t>1. Obtain the following from the office that received the voluntary goods or services:</w:t>
      </w:r>
    </w:p>
    <w:p>
      <w:pPr>
        <w:pBdr>
          <w:top w:space="5"/>
          <w:left w:space="5"/>
          <w:bottom w:space="5"/>
          <w:right w:space="5"/>
        </w:pBdr>
        <w:spacing w:after="0"/>
        <w:ind w:left="225"/>
        <w:jc w:val="left"/>
      </w:pPr>
      <w:r>
        <w:rPr>
          <w:rFonts w:ascii="Times New Roman" w:hAnsi="Times New Roman"/>
          <w:b w:val="false"/>
          <w:i w:val="false"/>
          <w:color w:val="000000"/>
          <w:sz w:val="22"/>
        </w:rPr>
        <w:t>a. [ ] A written statement detailing the circumstances that led to contractor performance without a contract and/or a lapse in contract coverage; and</w:t>
      </w:r>
    </w:p>
    <w:p>
      <w:pPr>
        <w:pBdr>
          <w:top w:space="5"/>
          <w:left w:space="5"/>
          <w:bottom w:space="5"/>
          <w:right w:space="5"/>
        </w:pBdr>
        <w:spacing w:after="0"/>
        <w:ind w:left="225"/>
        <w:jc w:val="left"/>
      </w:pPr>
      <w:r>
        <w:rPr>
          <w:rFonts w:ascii="Times New Roman" w:hAnsi="Times New Roman"/>
          <w:b w:val="false"/>
          <w:i w:val="false"/>
          <w:color w:val="000000"/>
          <w:sz w:val="22"/>
        </w:rPr>
        <w:t>b. The following documentation:</w:t>
      </w:r>
    </w:p>
    <w:p>
      <w:pPr>
        <w:pBdr>
          <w:top w:space="5"/>
          <w:left w:space="5"/>
          <w:bottom w:space="5"/>
          <w:right w:space="5"/>
        </w:pBdr>
        <w:spacing w:after="0"/>
        <w:ind w:left="945"/>
        <w:jc w:val="left"/>
      </w:pPr>
      <w:r>
        <w:rPr>
          <w:rFonts w:ascii="Times New Roman" w:hAnsi="Times New Roman"/>
          <w:b w:val="false"/>
          <w:i w:val="false"/>
          <w:color w:val="000000"/>
          <w:sz w:val="22"/>
        </w:rPr>
        <w:t>(i) [ ] Contractor claim;</w:t>
      </w:r>
    </w:p>
    <w:p>
      <w:pPr>
        <w:pBdr>
          <w:top w:space="5"/>
          <w:left w:space="5"/>
          <w:bottom w:space="5"/>
          <w:right w:space="5"/>
        </w:pBdr>
        <w:spacing w:after="0"/>
        <w:ind w:left="945"/>
        <w:jc w:val="left"/>
      </w:pPr>
      <w:r>
        <w:rPr>
          <w:rFonts w:ascii="Times New Roman" w:hAnsi="Times New Roman"/>
          <w:b w:val="false"/>
          <w:i w:val="false"/>
          <w:color w:val="000000"/>
          <w:sz w:val="22"/>
        </w:rPr>
        <w:t>(ii) [ ] Contractor invoices; and</w:t>
      </w:r>
    </w:p>
    <w:p>
      <w:pPr>
        <w:pBdr>
          <w:top w:space="5"/>
          <w:left w:space="5"/>
          <w:bottom w:space="5"/>
          <w:right w:space="5"/>
        </w:pBdr>
        <w:spacing w:after="0"/>
        <w:ind w:left="945"/>
        <w:jc w:val="left"/>
      </w:pPr>
      <w:r>
        <w:rPr>
          <w:rFonts w:ascii="Times New Roman" w:hAnsi="Times New Roman"/>
          <w:b w:val="false"/>
          <w:i w:val="false"/>
          <w:color w:val="000000"/>
          <w:sz w:val="22"/>
        </w:rPr>
        <w:t>(iii) [ ] Correspondence related to the claim.</w:t>
      </w:r>
    </w:p>
    <w:p>
      <w:pPr>
        <w:pBdr>
          <w:top w:space="5"/>
          <w:left w:space="5"/>
          <w:bottom w:space="5"/>
          <w:right w:space="5"/>
        </w:pBdr>
        <w:spacing w:after="0"/>
        <w:ind w:left="225"/>
        <w:jc w:val="left"/>
      </w:pPr>
      <w:r>
        <w:rPr>
          <w:rFonts w:ascii="Times New Roman" w:hAnsi="Times New Roman"/>
          <w:b w:val="false"/>
          <w:i w:val="false"/>
          <w:color w:val="000000"/>
          <w:sz w:val="22"/>
        </w:rPr>
        <w:t>2. Obtain a statement from the contractor addressing—</w:t>
      </w:r>
    </w:p>
    <w:p>
      <w:pPr>
        <w:pBdr>
          <w:top w:space="5"/>
          <w:left w:space="5"/>
          <w:bottom w:space="5"/>
          <w:right w:space="5"/>
        </w:pBdr>
        <w:spacing w:after="0"/>
        <w:ind w:left="225"/>
        <w:jc w:val="left"/>
      </w:pPr>
      <w:r>
        <w:rPr>
          <w:rFonts w:ascii="Times New Roman" w:hAnsi="Times New Roman"/>
          <w:b w:val="false"/>
          <w:i w:val="false"/>
          <w:color w:val="000000"/>
          <w:sz w:val="22"/>
        </w:rPr>
        <w:t>a. [ ] The contractor’s knowledge or understanding regarding a lack of contract;</w:t>
      </w:r>
    </w:p>
    <w:p>
      <w:pPr>
        <w:pBdr>
          <w:top w:space="5"/>
          <w:left w:space="5"/>
          <w:bottom w:space="5"/>
          <w:right w:space="5"/>
        </w:pBdr>
        <w:spacing w:after="0"/>
        <w:ind w:left="225"/>
        <w:jc w:val="left"/>
      </w:pPr>
      <w:r>
        <w:rPr>
          <w:rFonts w:ascii="Times New Roman" w:hAnsi="Times New Roman"/>
          <w:b w:val="false"/>
          <w:i w:val="false"/>
          <w:color w:val="000000"/>
          <w:sz w:val="22"/>
        </w:rPr>
        <w:t>b. [ ] Why the contractor performed or allowed performance without a contract;</w:t>
      </w:r>
    </w:p>
    <w:p>
      <w:pPr>
        <w:pBdr>
          <w:top w:space="5"/>
          <w:left w:space="5"/>
          <w:bottom w:space="5"/>
          <w:right w:space="5"/>
        </w:pBdr>
        <w:spacing w:after="0"/>
        <w:ind w:left="225"/>
        <w:jc w:val="left"/>
      </w:pPr>
      <w:r>
        <w:rPr>
          <w:rFonts w:ascii="Times New Roman" w:hAnsi="Times New Roman"/>
          <w:b w:val="false"/>
          <w:i w:val="false"/>
          <w:color w:val="000000"/>
          <w:sz w:val="22"/>
        </w:rPr>
        <w:t>c. [ ] Why the contractor believes it is entitled to relief;</w:t>
      </w:r>
    </w:p>
    <w:p>
      <w:pPr>
        <w:pBdr>
          <w:top w:space="5"/>
          <w:left w:space="5"/>
          <w:bottom w:space="5"/>
          <w:right w:space="5"/>
        </w:pBdr>
        <w:spacing w:after="0"/>
        <w:ind w:left="225"/>
        <w:jc w:val="left"/>
      </w:pPr>
      <w:r>
        <w:rPr>
          <w:rFonts w:ascii="Times New Roman" w:hAnsi="Times New Roman"/>
          <w:b w:val="false"/>
          <w:i w:val="false"/>
          <w:color w:val="000000"/>
          <w:sz w:val="22"/>
        </w:rPr>
        <w:t>d. [ ] Why the contractor’s performance meets the good faith test; and</w:t>
      </w:r>
    </w:p>
    <w:p>
      <w:pPr>
        <w:pBdr>
          <w:top w:space="5"/>
          <w:left w:space="5"/>
          <w:bottom w:space="5"/>
          <w:right w:space="5"/>
        </w:pBdr>
        <w:spacing w:after="0"/>
        <w:ind w:left="225"/>
        <w:jc w:val="left"/>
      </w:pPr>
      <w:r>
        <w:rPr>
          <w:rFonts w:ascii="Times New Roman" w:hAnsi="Times New Roman"/>
          <w:b w:val="false"/>
          <w:i w:val="false"/>
          <w:color w:val="000000"/>
          <w:sz w:val="22"/>
        </w:rPr>
        <w:t>e. [ ] Address and contact information of contractor and, if applicable, legal counsel.</w:t>
      </w:r>
    </w:p>
    <w:p>
      <w:pPr>
        <w:pBdr>
          <w:top w:space="5"/>
          <w:left w:space="5"/>
          <w:bottom w:space="5"/>
          <w:right w:space="5"/>
        </w:pBdr>
        <w:spacing w:after="0"/>
        <w:ind w:left="225"/>
        <w:jc w:val="left"/>
      </w:pPr>
      <w:r>
        <w:rPr>
          <w:rFonts w:ascii="Times New Roman" w:hAnsi="Times New Roman"/>
          <w:b w:val="false"/>
          <w:i w:val="false"/>
          <w:color w:val="000000"/>
          <w:sz w:val="22"/>
        </w:rPr>
        <w:t>3. [ ] Consult Office of Counsel to help determine whether the circumstances warrant requesting relief on a quantum meruit basis, and obtain documentation of discussion.</w:t>
      </w:r>
    </w:p>
    <w:p>
      <w:pPr>
        <w:pBdr>
          <w:top w:space="5"/>
          <w:left w:space="5"/>
          <w:bottom w:space="5"/>
          <w:right w:space="5"/>
        </w:pBdr>
        <w:spacing w:after="0"/>
        <w:ind w:left="225"/>
        <w:jc w:val="left"/>
      </w:pPr>
      <w:r>
        <w:rPr>
          <w:rFonts w:ascii="Times New Roman" w:hAnsi="Times New Roman"/>
          <w:b w:val="false"/>
          <w:i w:val="false"/>
          <w:color w:val="000000"/>
          <w:sz w:val="22"/>
        </w:rPr>
        <w:t>II. Justification. The contracting officer shall prepare the justification. Include the following:</w:t>
      </w:r>
    </w:p>
    <w:p>
      <w:pPr>
        <w:pBdr>
          <w:top w:space="5"/>
          <w:left w:space="5"/>
          <w:bottom w:space="5"/>
          <w:right w:space="5"/>
        </w:pBdr>
        <w:spacing w:after="0"/>
        <w:ind w:left="225"/>
        <w:jc w:val="left"/>
      </w:pPr>
      <w:r>
        <w:rPr>
          <w:rFonts w:ascii="Times New Roman" w:hAnsi="Times New Roman"/>
          <w:b w:val="false"/>
          <w:i w:val="false"/>
          <w:color w:val="000000"/>
          <w:sz w:val="22"/>
        </w:rPr>
        <w:t>1. [ ] Introductory paragraph providing an overview of the claim.</w:t>
      </w:r>
    </w:p>
    <w:p>
      <w:pPr>
        <w:pBdr>
          <w:top w:space="5"/>
          <w:left w:space="5"/>
          <w:bottom w:space="5"/>
          <w:right w:space="5"/>
        </w:pBdr>
        <w:spacing w:after="0"/>
        <w:ind w:left="225"/>
        <w:jc w:val="left"/>
      </w:pPr>
      <w:r>
        <w:rPr>
          <w:rFonts w:ascii="Times New Roman" w:hAnsi="Times New Roman"/>
          <w:b w:val="false"/>
          <w:i w:val="false"/>
          <w:color w:val="000000"/>
          <w:sz w:val="22"/>
        </w:rPr>
        <w:t>2. Background paragraph that includes—</w:t>
      </w:r>
    </w:p>
    <w:p>
      <w:pPr>
        <w:pBdr>
          <w:top w:space="5"/>
          <w:left w:space="5"/>
          <w:bottom w:space="5"/>
          <w:right w:space="5"/>
        </w:pBdr>
        <w:spacing w:after="0"/>
        <w:ind w:left="225"/>
        <w:jc w:val="left"/>
      </w:pPr>
      <w:r>
        <w:rPr>
          <w:rFonts w:ascii="Times New Roman" w:hAnsi="Times New Roman"/>
          <w:b w:val="false"/>
          <w:i w:val="false"/>
          <w:color w:val="000000"/>
          <w:sz w:val="22"/>
        </w:rPr>
        <w:t>a. [ ] A detailed explanation of how and when the contractor performance without a contract and/or a lapse in contract coverage occurred.</w:t>
      </w:r>
    </w:p>
    <w:p>
      <w:pPr>
        <w:pBdr>
          <w:top w:space="5"/>
          <w:left w:space="5"/>
          <w:bottom w:space="5"/>
          <w:right w:space="5"/>
        </w:pBdr>
        <w:spacing w:after="0"/>
        <w:ind w:left="225"/>
        <w:jc w:val="left"/>
      </w:pPr>
      <w:r>
        <w:rPr>
          <w:rFonts w:ascii="Times New Roman" w:hAnsi="Times New Roman"/>
          <w:b w:val="false"/>
          <w:i w:val="false"/>
          <w:color w:val="000000"/>
          <w:sz w:val="22"/>
        </w:rPr>
        <w:t>b. [ ] Information regarding knowledge of Government employee(s) involved; and</w:t>
      </w:r>
    </w:p>
    <w:p>
      <w:pPr>
        <w:pBdr>
          <w:top w:space="5"/>
          <w:left w:space="5"/>
          <w:bottom w:space="5"/>
          <w:right w:space="5"/>
        </w:pBdr>
        <w:spacing w:after="0"/>
        <w:ind w:left="225"/>
        <w:jc w:val="left"/>
      </w:pPr>
      <w:r>
        <w:rPr>
          <w:rFonts w:ascii="Times New Roman" w:hAnsi="Times New Roman"/>
          <w:b w:val="false"/>
          <w:i w:val="false"/>
          <w:color w:val="000000"/>
          <w:sz w:val="22"/>
        </w:rPr>
        <w:t>c. [ ] Dates of events.</w:t>
      </w:r>
    </w:p>
    <w:p>
      <w:pPr>
        <w:pBdr>
          <w:top w:space="5"/>
          <w:left w:space="5"/>
          <w:bottom w:space="5"/>
          <w:right w:space="5"/>
        </w:pBdr>
        <w:spacing w:after="0"/>
        <w:ind w:left="225"/>
        <w:jc w:val="left"/>
      </w:pPr>
      <w:r>
        <w:rPr>
          <w:rFonts w:ascii="Times New Roman" w:hAnsi="Times New Roman"/>
          <w:b w:val="false"/>
          <w:i w:val="false"/>
          <w:color w:val="000000"/>
          <w:sz w:val="22"/>
        </w:rPr>
        <w:t>3. [ ] Analysis paragraph explaining how the circumstances warrant requesting relief on a quantum meruit basis. Include documentation of the following:</w:t>
      </w:r>
    </w:p>
    <w:p>
      <w:pPr>
        <w:pBdr>
          <w:top w:space="5"/>
          <w:left w:space="5"/>
          <w:bottom w:space="5"/>
          <w:right w:space="5"/>
        </w:pBdr>
        <w:spacing w:after="0"/>
        <w:ind w:left="225"/>
        <w:jc w:val="left"/>
      </w:pPr>
      <w:r>
        <w:rPr>
          <w:rFonts w:ascii="Times New Roman" w:hAnsi="Times New Roman"/>
          <w:b w:val="false"/>
          <w:i w:val="false"/>
          <w:color w:val="000000"/>
          <w:sz w:val="22"/>
        </w:rPr>
        <w:t>a. [ ] The goods or services would have been a permissible procurement had correct procedures been followed;</w:t>
      </w:r>
    </w:p>
    <w:p>
      <w:pPr>
        <w:pBdr>
          <w:top w:space="5"/>
          <w:left w:space="5"/>
          <w:bottom w:space="5"/>
          <w:right w:space="5"/>
        </w:pBdr>
        <w:spacing w:after="0"/>
        <w:ind w:left="225"/>
        <w:jc w:val="left"/>
      </w:pPr>
      <w:r>
        <w:rPr>
          <w:rFonts w:ascii="Times New Roman" w:hAnsi="Times New Roman"/>
          <w:b w:val="false"/>
          <w:i w:val="false"/>
          <w:color w:val="000000"/>
          <w:sz w:val="22"/>
        </w:rPr>
        <w:t>b. [ ] The Government received and accepted a benefit;</w:t>
      </w:r>
    </w:p>
    <w:p>
      <w:pPr>
        <w:pBdr>
          <w:top w:space="5"/>
          <w:left w:space="5"/>
          <w:bottom w:space="5"/>
          <w:right w:space="5"/>
        </w:pBdr>
        <w:spacing w:after="0"/>
        <w:ind w:left="225"/>
        <w:jc w:val="left"/>
      </w:pPr>
      <w:r>
        <w:rPr>
          <w:rFonts w:ascii="Times New Roman" w:hAnsi="Times New Roman"/>
          <w:b w:val="false"/>
          <w:i w:val="false"/>
          <w:color w:val="000000"/>
          <w:sz w:val="22"/>
        </w:rPr>
        <w:t>c. [ ] The contractor acted in good faith; and</w:t>
      </w:r>
    </w:p>
    <w:p>
      <w:pPr>
        <w:pBdr>
          <w:top w:space="5"/>
          <w:left w:space="5"/>
          <w:bottom w:space="5"/>
          <w:right w:space="5"/>
        </w:pBdr>
        <w:spacing w:after="0"/>
        <w:ind w:left="225"/>
        <w:jc w:val="left"/>
      </w:pPr>
      <w:r>
        <w:rPr>
          <w:rFonts w:ascii="Times New Roman" w:hAnsi="Times New Roman"/>
          <w:b w:val="false"/>
          <w:i w:val="false"/>
          <w:color w:val="000000"/>
          <w:sz w:val="22"/>
        </w:rPr>
        <w:t>d. [ ] The amount to be paid represents a reasonable value of the benefit received.</w:t>
      </w:r>
    </w:p>
    <w:p>
      <w:pPr>
        <w:pBdr>
          <w:top w:space="5"/>
          <w:left w:space="5"/>
          <w:bottom w:space="5"/>
          <w:right w:space="5"/>
        </w:pBdr>
        <w:spacing w:after="0"/>
        <w:ind w:left="225"/>
        <w:jc w:val="left"/>
      </w:pPr>
      <w:r>
        <w:rPr>
          <w:rFonts w:ascii="Times New Roman" w:hAnsi="Times New Roman"/>
          <w:b w:val="false"/>
          <w:i w:val="false"/>
          <w:color w:val="000000"/>
          <w:sz w:val="22"/>
        </w:rPr>
        <w:t>4. [ ] Recommendation paragraph with request for relief.</w:t>
      </w:r>
    </w:p>
    <w:p>
      <w:pPr>
        <w:pBdr>
          <w:top w:space="5"/>
          <w:left w:space="5"/>
          <w:bottom w:space="5"/>
          <w:right w:space="5"/>
        </w:pBdr>
        <w:spacing w:after="0"/>
        <w:ind w:left="225"/>
        <w:jc w:val="left"/>
      </w:pPr>
      <w:r>
        <w:rPr>
          <w:rFonts w:ascii="Times New Roman" w:hAnsi="Times New Roman"/>
          <w:b w:val="false"/>
          <w:i w:val="false"/>
          <w:color w:val="000000"/>
          <w:sz w:val="22"/>
        </w:rPr>
        <w:t>5. [ ] Description and documentation of individual and systemic corrective action(s) the supervisor or other authority have taken or have proposed to take to prevent recurrence.</w:t>
      </w:r>
    </w:p>
    <w:p>
      <w:pPr>
        <w:pBdr>
          <w:top w:space="5"/>
          <w:left w:space="5"/>
          <w:bottom w:space="5"/>
          <w:right w:space="5"/>
        </w:pBdr>
        <w:spacing w:after="0"/>
        <w:ind w:left="225"/>
        <w:jc w:val="center"/>
      </w:pPr>
      <w:r>
        <w:rPr>
          <w:rFonts w:ascii="Times New Roman" w:hAnsi="Times New Roman"/>
          <w:b/>
          <w:i w:val="false"/>
          <w:color w:val="000000"/>
          <w:sz w:val="22"/>
        </w:rPr>
        <w:t>DO NOT INCLUDE ANY PERSONNEL DISCIPLINARY ACTION, WHICH IS PRIVACY ACT PROTECTED.</w:t>
      </w:r>
    </w:p>
    <w:p>
      <w:pPr>
        <w:pBdr>
          <w:top w:space="5"/>
          <w:left w:space="5"/>
          <w:bottom w:space="5"/>
          <w:right w:space="5"/>
        </w:pBdr>
        <w:spacing w:after="0"/>
        <w:ind w:left="225"/>
        <w:jc w:val="left"/>
      </w:pPr>
      <w:r>
        <w:rPr>
          <w:rFonts w:ascii="Times New Roman" w:hAnsi="Times New Roman"/>
          <w:b w:val="false"/>
          <w:i w:val="false"/>
          <w:color w:val="000000"/>
          <w:sz w:val="22"/>
        </w:rPr>
        <w:t>6. Attach the following:</w:t>
      </w:r>
    </w:p>
    <w:p>
      <w:pPr>
        <w:pBdr>
          <w:top w:space="5"/>
          <w:left w:space="5"/>
          <w:bottom w:space="5"/>
          <w:right w:space="5"/>
        </w:pBdr>
        <w:spacing w:after="0"/>
        <w:ind w:left="225"/>
        <w:jc w:val="left"/>
      </w:pPr>
      <w:r>
        <w:rPr>
          <w:rFonts w:ascii="Times New Roman" w:hAnsi="Times New Roman"/>
          <w:b w:val="false"/>
          <w:i w:val="false"/>
          <w:color w:val="000000"/>
          <w:sz w:val="22"/>
        </w:rPr>
        <w:t>a. [ ] Documentation obtained from the office that received the voluntary goods or services and from the contractor (see Section I); and</w:t>
      </w:r>
    </w:p>
    <w:p>
      <w:pPr>
        <w:pBdr>
          <w:top w:space="5"/>
          <w:left w:space="5"/>
          <w:bottom w:space="5"/>
          <w:right w:space="5"/>
        </w:pBdr>
        <w:spacing w:after="0"/>
        <w:ind w:left="225"/>
        <w:jc w:val="left"/>
      </w:pPr>
      <w:r>
        <w:rPr>
          <w:rFonts w:ascii="Times New Roman" w:hAnsi="Times New Roman"/>
          <w:b w:val="false"/>
          <w:i w:val="false"/>
          <w:color w:val="000000"/>
          <w:sz w:val="22"/>
        </w:rPr>
        <w:t>b. [ ] Letter for CAE signature issuing initial notice and determination to the claimant.</w:t>
      </w:r>
    </w:p>
    <w:sectPr>
      <w:pgSz w:w="12240" w:h="15840" w:code="1"/>
      <w:pgMar w:top="1440" w:right="1440" w:bottom="1440" w:left="1440"/>
      <w:pgNumType w:start="1"/>
      <w:footerReference w:type="default" r:id="Rbad29b9cc5e34feb"/>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bad29b9cc5e34feb" /><Relationship Type="http://schemas.openxmlformats.org/officeDocument/2006/relationships/hyperlink" Target="PGI_SUBPART_1.6.dita#DLAD_PGI_SUBPART_1_6" TargetMode="External" Id="Rc6e4ad65d67d4fac" /><Relationship Type="http://schemas.openxmlformats.org/officeDocument/2006/relationships/hyperlink" Target="PGI_1.601.dita#DLAD_PGI_1_601" TargetMode="External" Id="Rcdd3f8c8f8f7465e" /><Relationship Type="http://schemas.openxmlformats.org/officeDocument/2006/relationships/hyperlink" Target="PGI_1.602-3.dita#DLAD_PGI_1_602-3" TargetMode="External" Id="R1a36dd6e7aa94378" /><Relationship Type="http://schemas.openxmlformats.org/officeDocument/2006/relationships/hyperlink" Target="https://dlamil.dps.mil/Sites/Acquisition/Pages/default.aspx" TargetMode="External" Id="Rfe3b4429a06c47d1" /><Relationship Type="http://schemas.openxmlformats.org/officeDocument/2006/relationships/hyperlink" Target="1.602-3.dita#DLAD_1_602-3" TargetMode="External" Id="R549e2bfb593e46c7" /><Relationship Type="http://schemas.openxmlformats.org/officeDocument/2006/relationships/hyperlink" Target="1.602-3.dita#DLAD_1_602-3" TargetMode="External" Id="Rf69881a03876446e" /><Relationship Type="http://schemas.openxmlformats.org/officeDocument/2006/relationships/hyperlink" Target="1.602-3.dita#DLAD_1_602-3" TargetMode="External" Id="Rab8a364a09ef4022" /><Relationship Type="http://schemas.openxmlformats.org/officeDocument/2006/relationships/hyperlink" Target="1.602-3.dita#DLAD_1_602-3/p_P1_602_3_d" TargetMode="External" Id="Rea1091ac756e4a4c" /><Relationship Type="http://schemas.openxmlformats.org/officeDocument/2006/relationships/hyperlink" Target="1.602-3.dita#DLAD_1_602-3/p_P1_602_3_d_S92" TargetMode="External" Id="R12037bba288f4d9f"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