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3" w:id="0"/>
      <w:r>
        <w:rPr>
          <w:rFonts w:ascii="Times New Roman" w:hAnsi="Times New Roman"/>
          <w:color w:val="000000"/>
        </w:rPr>
        <w:t>PGI PART 13</w:t>
      </w:r>
      <w:r>
        <w:rPr>
          <w:rFonts w:ascii="Times New Roman" w:hAnsi="Times New Roman"/>
          <w:color w:val="000000"/>
        </w:rPr>
        <w:t xml:space="preserve"> – SIMPLIFIED ACQUISITION PROCEDURES</w:t>
      </w:r>
      <w:bookmarkEnd w:id="0"/>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1"/>
      <w:r>
        <w:rPr>
          <w:rFonts w:ascii="Times New Roman" w:hAnsi="Times New Roman"/>
          <w:color w:val="000000"/>
          <w:sz w:val="36"/>
        </w:rPr>
        <w:t xml:space="preserve"> </w:t>
      </w:r>
      <w:bookmarkStart w:name="5JQP6C" w:id="2"/>
      <w:r>
        <w:rPr>
          <w:rFonts w:ascii="Times New Roman" w:hAnsi="Times New Roman"/>
          <w:color w:val="000000"/>
          <w:sz w:val="36"/>
        </w:rPr>
        <w:t>PGI 13.402</w:t>
      </w:r>
      <w:bookmarkEnd w:id="2"/>
      <w:r>
        <w:rPr>
          <w:rFonts w:ascii="Times New Roman" w:hAnsi="Times New Roman"/>
          <w:color w:val="000000"/>
          <w:sz w:val="36"/>
        </w:rPr>
        <w:t xml:space="preserve"> Conditions for use.</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6f92c113f2d746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a5a786ce28aa42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6ba88aa8354149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8aad0ace198e48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w:sectPr>
      <w:pgSz w:w="12240" w:h="15840" w:code="1"/>
      <w:pgMar w:top="1440" w:right="1440" w:bottom="1440" w:left="1440"/>
      <w:pgNumType w:start="1"/>
      <w:footerReference w:type="default" r:id="R67c52f7394fa40d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7c52f7394fa40d5" /><Relationship Type="http://schemas.openxmlformats.org/officeDocument/2006/relationships/hyperlink" Target="PGI_13.402.dita#DLAD_PGI_13_402" TargetMode="External" Id="Ra51c6a410a634b52" /><Relationship Type="http://schemas.openxmlformats.org/officeDocument/2006/relationships/hyperlink" Target="13.402.dita#DLAD_13_402" TargetMode="External" Id="Rbd19df9603054318" /><Relationship Type="http://schemas.openxmlformats.org/officeDocument/2006/relationships/hyperlink" Target="13.402.dita#DLAD_13_402" TargetMode="External" Id="R726ca1c06e5d4a06" /><Relationship Type="http://schemas.openxmlformats.org/officeDocument/2006/relationships/hyperlink" Target="53.9013.dita#DLAD_53_9013" TargetMode="External" Id="R754274a56dd74f2e" /><Relationship Type="http://schemas.openxmlformats.org/officeDocument/2006/relationships/hyperlink" Target="53.9013.dita#DLAD_53_9013/Gltewj" TargetMode="External" Id="R2ac3ceb0bf1f4ba5" /><Relationship Type="http://schemas.openxmlformats.org/officeDocument/2006/relationships/hyperlink" Target="53.9013.dita#DLAD_53_9013" TargetMode="External" Id="Rd6fa773f3492498c" /><Relationship Type="http://schemas.openxmlformats.org/officeDocument/2006/relationships/hyperlink" Target="53.9013.dita#DLAD_53_9013/0c86im0j" TargetMode="External" Id="Rd1f3ee83df4a400c" /><Relationship Type="http://schemas.openxmlformats.org/officeDocument/2006/relationships/hyperlink" Target="13.402.dita#DLAD_13_402" TargetMode="External" Id="Rc0a01321eba14829" /><Relationship Type="http://schemas.openxmlformats.org/officeDocument/2006/relationships/hyperlink" Target="13.402.dita#DLAD_13_402" TargetMode="External" Id="R8429728812464987" /><Relationship Type="http://schemas.openxmlformats.org/officeDocument/2006/relationships/hyperlink" Target="https://dlamil.dps.mil/sites/P1/ebs/Pages/ONLINEHELP.aspx" TargetMode="External" Id="R6f92c113f2d746e7" /><Relationship Type="http://schemas.openxmlformats.org/officeDocument/2006/relationships/hyperlink" Target="https://dlamil.dps.mil/sites/P1/ebs/Pages/ONLINEHELP.aspx" TargetMode="External" Id="Ra5a786ce28aa421f" /><Relationship Type="http://schemas.openxmlformats.org/officeDocument/2006/relationships/hyperlink" Target="https://dlamil.dps.mil/sites/P1/ebs/Pages/ONLINEHELP.aspx" TargetMode="External" Id="R6ba88aa835414969" /><Relationship Type="http://schemas.openxmlformats.org/officeDocument/2006/relationships/hyperlink" Target="https://dlamil.dps.mil/sites/P1/ebs/Pages/ONLINEHELP.aspx" TargetMode="External" Id="R8aad0ace198e481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