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GI_PART_25" w:id="0"/>
      <w:r>
        <w:rPr>
          <w:rFonts w:ascii="Times New Roman" w:hAnsi="Times New Roman"/>
          <w:color w:val="000000"/>
        </w:rPr>
        <w:t>PGI PART 25</w:t>
      </w:r>
      <w:r>
        <w:rPr>
          <w:rFonts w:ascii="Times New Roman" w:hAnsi="Times New Roman"/>
          <w:color w:val="000000"/>
        </w:rPr>
        <w:t xml:space="preserve"> – FOREIGN ACQUISITION</w:t>
      </w:r>
      <w:bookmarkEnd w:id="0"/>
    </w:p>
    <w:p>
      <w:pPr>
        <w:spacing w:after="0"/>
        <w:jc w:val="left"/>
        <w:ind w:left="720" w:hanging="360"/>
      </w:pPr>
      <w:hyperlink w:anchor="DLAD_PGI_SUBPART_25_79">
        <w:r>
          <w:rPr>
            <w:rStyle w:val="Hyperlink"/>
            <w:rFonts w:ascii="Times New Roman" w:hAnsi="Times New Roman"/>
            <w:b w:val="false"/>
            <w:i w:val="false"/>
            <w:color w:val="0000ff"/>
            <w:sz w:val="22"/>
            <w:u w:val="single"/>
          </w:rPr>
          <w:t>PGI SUBPART 25.79 – EXPORT CONTROL</w:t>
        </w:r>
      </w:hyperlink>
    </w:p>
    <w:p>
      <w:pPr>
        <w:spacing w:after="0"/>
        <w:jc w:val="left"/>
        <w:ind w:left="1440" w:hanging="360"/>
      </w:pPr>
      <w:hyperlink w:anchor="DLAD_PGI_25_7902_4">
        <w:r>
          <w:rPr>
            <w:rStyle w:val="Hyperlink"/>
            <w:rFonts w:ascii="Times New Roman" w:hAnsi="Times New Roman"/>
            <w:b w:val="false"/>
            <w:i w:val="false"/>
            <w:color w:val="0000ff"/>
            <w:sz w:val="22"/>
            <w:u w:val="single"/>
          </w:rPr>
          <w:t>PGI 25.7902-4 Procedures.</w:t>
        </w:r>
      </w:hyperlink>
    </w:p>
    <!-- Created by docx4j 6.1.2 (Apache licensed) using REFERENCE JAXB in Oracle Java 15 on Linux -->
    <w:p>
      <w:pPr>
        <w:pStyle w:val="Heading2"/>
        <w:spacing w:after="180"/>
        <w:ind w:left="120"/>
        <w:jc w:val="center"/>
      </w:pPr>
      <w:bookmarkStart w:name="DLAD_PGI_SUBPART_25_79" w:id="1"/>
      <w:r>
        <w:rPr>
          <w:rFonts w:ascii="Times New Roman" w:hAnsi="Times New Roman"/>
          <w:color w:val="000000"/>
          <w:sz w:val="36"/>
        </w:rPr>
        <w:t>PGI SUBPART 25.79</w:t>
      </w:r>
      <w:r>
        <w:rPr>
          <w:rFonts w:ascii="Times New Roman" w:hAnsi="Times New Roman"/>
          <w:color w:val="000000"/>
          <w:sz w:val="36"/>
        </w:rPr>
        <w:t xml:space="preserve"> – EXPORT CONTROL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25_7902_4" w:id="2"/>
      <w:r>
        <w:rPr>
          <w:rFonts w:ascii="Times New Roman" w:hAnsi="Times New Roman"/>
          <w:color w:val="000000"/>
          <w:sz w:val="31"/>
        </w:rPr>
        <w:t>PGI 25.7902-4</w:t>
      </w:r>
      <w:r>
        <w:rPr>
          <w:rFonts w:ascii="Times New Roman" w:hAnsi="Times New Roman"/>
          <w:color w:val="000000"/>
          <w:sz w:val="31"/>
        </w:rPr>
        <w:t xml:space="preserve"> Procedures.</w:t>
      </w:r>
      <w:bookmarkEnd w:id="2"/>
    </w:p>
    <w:p>
      <w:pPr>
        <w:pStyle w:val="Normal"/>
        <w:pBdr>
          <w:top w:space="5"/>
          <w:left w:space="5"/>
          <w:bottom w:space="5"/>
          <w:right w:space="5"/>
        </w:pBdr>
        <w:spacing w:after="0"/>
        <w:ind w:left="225"/>
        <w:jc w:val="left"/>
      </w:pPr>
      <w:r>
        <w:rPr>
          <w:rFonts w:ascii="Times New Roman" w:hAnsi="Times New Roman"/>
          <w:color w:val="000000"/>
        </w:rPr>
        <w:t>(S-90) The contracting officer shall follow the guidance in PGI 25.7902-4(S-90)(1), (2), or (3), as applicable, to determine if an offeror meets the conditions for an exception to the requirement to verify DLA controlling authority approval to access export-controlled data.</w:t>
      </w:r>
    </w:p>
    <w:p>
      <w:pPr>
        <w:pBdr>
          <w:top w:space="5"/>
          <w:left w:space="5"/>
          <w:bottom w:space="5"/>
          <w:right w:space="5"/>
        </w:pBdr>
        <w:spacing w:after="0"/>
        <w:ind w:left="585"/>
        <w:jc w:val="left"/>
      </w:pPr>
      <w:r>
        <w:rPr>
          <w:rFonts w:ascii="Times New Roman" w:hAnsi="Times New Roman"/>
          <w:b w:val="false"/>
          <w:i w:val="false"/>
          <w:color w:val="000000"/>
          <w:sz w:val="22"/>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H10 Awardee Requires No Access to DLA Controlled Technical Data or Information for Contract Performance (FEB 2020)</w:t>
      </w:r>
    </w:p>
    <w:p>
      <w:pPr>
        <w:pStyle w:val="Normal"/>
        <w:pBdr>
          <w:top w:space="5"/>
          <w:left w:space="5"/>
          <w:bottom w:space="5"/>
          <w:right w:space="5"/>
        </w:pBdr>
        <w:spacing w:after="0"/>
        <w:ind w:left="225"/>
        <w:jc w:val="left"/>
      </w:pPr>
      <w:r>
        <w:rPr>
          <w:rFonts w:ascii="Times New Roman" w:hAnsi="Times New Roman"/>
          <w:color w:val="000000"/>
        </w:rPr>
        <w:t>Awardee has confirmed it will not require access to DLA controlled technical data or information for contract performance, and it will provide items that conform to the current revision of applicable technical data.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pPr>
        <w:pBdr>
          <w:top w:space="5"/>
          <w:left w:space="5"/>
          <w:bottom w:space="5"/>
          <w:right w:space="5"/>
        </w:pBdr>
        <w:spacing w:after="0"/>
        <w:ind w:left="585"/>
        <w:jc w:val="left"/>
      </w:pPr>
      <w:r>
        <w:rPr>
          <w:rFonts w:ascii="Times New Roman" w:hAnsi="Times New Roman"/>
          <w:b w:val="false"/>
          <w:i w:val="false"/>
          <w:color w:val="000000"/>
          <w:sz w:val="22"/>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pPr>
        <w:pBdr>
          <w:top w:space="5"/>
          <w:left w:space="5"/>
          <w:bottom w:space="5"/>
          <w:right w:space="5"/>
        </w:pBdr>
        <w:spacing w:after="0"/>
        <w:ind w:left="1305"/>
        <w:jc w:val="left"/>
      </w:pPr>
      <w:r>
        <w:rPr>
          <w:rFonts w:ascii="Times New Roman" w:hAnsi="Times New Roman"/>
          <w:b w:val="false"/>
          <w:i w:val="false"/>
          <w:color w:val="000000"/>
          <w:sz w:val="22"/>
        </w:rPr>
        <w:t>(A) The product specialist has validated the item meets all current revision requirements based on the offeror’s responses in procurement note C04, Unused Former Government Surplus Property (see 11.390(a)); and</w:t>
      </w:r>
    </w:p>
    <w:p>
      <w:pPr>
        <w:pBdr>
          <w:top w:space="5"/>
          <w:left w:space="5"/>
          <w:bottom w:space="5"/>
          <w:right w:space="5"/>
        </w:pBdr>
        <w:spacing w:after="0"/>
        <w:ind w:left="1305"/>
        <w:jc w:val="left"/>
      </w:pPr>
      <w:r>
        <w:rPr>
          <w:rFonts w:ascii="Times New Roman" w:hAnsi="Times New Roman"/>
          <w:b w:val="false"/>
          <w:i w:val="false"/>
          <w:color w:val="000000"/>
          <w:sz w:val="22"/>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shall include the offeror’s assertion and product specialist’s recommendation in the contract file, and insert procurement note H10 in the award.</w:t>
      </w:r>
    </w:p>
    <w:p>
      <w:pPr>
        <w:pStyle w:val="Normal"/>
        <w:pBdr>
          <w:top w:space="5"/>
          <w:left w:space="5"/>
          <w:bottom w:space="5"/>
          <w:right w:space="5"/>
        </w:pBdr>
        <w:spacing w:after="0"/>
        <w:ind w:left="225"/>
        <w:jc w:val="left"/>
      </w:pPr>
      <w:r>
        <w:rPr>
          <w:rFonts w:ascii="Times New Roman" w:hAnsi="Times New Roman"/>
          <w:color w:val="000000"/>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pPr>
        <w:pStyle w:val="Normal"/>
        <w:pBdr>
          <w:top w:space="5"/>
          <w:left w:space="5"/>
          <w:bottom w:space="5"/>
          <w:right w:space="5"/>
        </w:pBdr>
        <w:spacing w:after="0"/>
        <w:ind w:left="225"/>
        <w:jc w:val="left"/>
      </w:pPr>
      <w:r>
        <w:rPr>
          <w:rFonts w:ascii="Times New Roman" w:hAnsi="Times New Roman"/>
          <w:color w:val="000000"/>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w:pgSz w:w="12240" w:h="15840" w:code="1"/>
      <w:pgMar w:top="1440" w:right="1440" w:bottom="1440" w:left="1440"/>
      <w:pgNumType w:start="1"/>
      <w:footerReference w:type="default" r:id="Reb08340d5e8846a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b08340d5e8846a5" /><Relationship Type="http://schemas.openxmlformats.org/officeDocument/2006/relationships/hyperlink" Target="PGI_SUBPART_25.79.dita#DLAD_PGI_SUBPART_25_79" TargetMode="External" Id="Re8127b13dc1648cb" /><Relationship Type="http://schemas.openxmlformats.org/officeDocument/2006/relationships/hyperlink" Target="PGI_25.7902-4.dita#DLAD_PGI_25_7902_4" TargetMode="External" Id="Ra6e34f76d3ce4df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