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1" w:id="0"/>
      <w:r>
        <w:rPr>
          <w:rFonts w:ascii="Times New Roman" w:hAnsi="Times New Roman"/>
          <w:color w:val="000000"/>
        </w:rPr>
        <w:t>Part 11</w:t>
      </w:r>
      <w:r>
        <w:rPr>
          <w:rFonts w:ascii="Times New Roman" w:hAnsi="Times New Roman"/>
          <w:color w:val="000000"/>
        </w:rPr>
        <w:t xml:space="preserve"> - DESCRIBING AGENCY NEEDS</w:t>
      </w:r>
      <w:bookmarkEnd w:id="0"/>
    </w:p>
    <w:p>
      <w:pPr>
        <w:spacing w:after="0"/>
        <w:jc w:val="left"/>
        <w:ind w:left="720" w:hanging="360"/>
      </w:pPr>
      <w:hyperlink w:anchor="DLAD_SUBPART_11_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LAD_11_103">
        <w:r>
          <w:rPr>
            <w:rStyle w:val="Hyperlink"/>
            <w:rFonts w:ascii="Times New Roman" w:hAnsi="Times New Roman"/>
            <w:b w:val="false"/>
            <w:i w:val="false"/>
            <w:color w:val="0000ff"/>
            <w:sz w:val="22"/>
            <w:u w:val="single"/>
          </w:rPr>
          <w:t>11.103 Market acceptance.</w:t>
        </w:r>
      </w:hyperlink>
    </w:p>
    <w:p>
      <w:pPr>
        <w:spacing w:after="0"/>
        <w:jc w:val="left"/>
        <w:ind w:left="720" w:hanging="360"/>
      </w:pPr>
      <w:hyperlink w:anchor="DLAD_SUBPART_11_2">
        <w:r>
          <w:rPr>
            <w:rStyle w:val="Hyperlink"/>
            <w:rFonts w:ascii="Times New Roman" w:hAnsi="Times New Roman"/>
            <w:b w:val="false"/>
            <w:i w:val="false"/>
            <w:color w:val="0000ff"/>
            <w:sz w:val="22"/>
            <w:u w:val="single"/>
          </w:rPr>
          <w:t>Subpart 11.2 - USING AND MAINTAINING REQUIREMENTS DOCUMENTS</w:t>
        </w:r>
      </w:hyperlink>
    </w:p>
    <w:p>
      <w:pPr>
        <w:spacing w:after="0"/>
        <w:jc w:val="left"/>
        <w:ind w:left="1440" w:hanging="360"/>
      </w:pPr>
      <w:hyperlink w:anchor="DLAD_11_201">
        <w:r>
          <w:rPr>
            <w:rStyle w:val="Hyperlink"/>
            <w:rFonts w:ascii="Times New Roman" w:hAnsi="Times New Roman"/>
            <w:b w:val="false"/>
            <w:i w:val="false"/>
            <w:color w:val="0000ff"/>
            <w:sz w:val="22"/>
            <w:u w:val="single"/>
          </w:rPr>
          <w:t>11.201 Identification and availability of specifications.</w:t>
        </w:r>
      </w:hyperlink>
    </w:p>
    <w:p>
      <w:pPr>
        <w:spacing w:after="0"/>
        <w:jc w:val="left"/>
        <w:ind w:left="1440" w:hanging="360"/>
      </w:pPr>
      <w:hyperlink w:anchor="DLAD_11_274">
        <w:r>
          <w:rPr>
            <w:rStyle w:val="Hyperlink"/>
            <w:rFonts w:ascii="Times New Roman" w:hAnsi="Times New Roman"/>
            <w:b w:val="false"/>
            <w:i w:val="false"/>
            <w:color w:val="0000ff"/>
            <w:sz w:val="22"/>
            <w:u w:val="single"/>
          </w:rPr>
          <w:t>11.274 Item identification and valuation requirements.</w:t>
        </w:r>
      </w:hyperlink>
    </w:p>
    <w:p>
      <w:pPr>
        <w:spacing w:after="0"/>
        <w:jc w:val="left"/>
        <w:ind w:left="1440" w:hanging="360"/>
      </w:pPr>
      <w:hyperlink w:anchor="DLAD_11_274-2">
        <w:r>
          <w:rPr>
            <w:rStyle w:val="Hyperlink"/>
            <w:rFonts w:ascii="Times New Roman" w:hAnsi="Times New Roman"/>
            <w:b w:val="false"/>
            <w:i w:val="false"/>
            <w:color w:val="0000ff"/>
            <w:sz w:val="22"/>
            <w:u w:val="single"/>
          </w:rPr>
          <w:t>11.274-2 Policy for unique item identification.</w:t>
        </w:r>
      </w:hyperlink>
    </w:p>
    <w:p>
      <w:pPr>
        <w:spacing w:after="0"/>
        <w:jc w:val="left"/>
        <w:ind w:left="720" w:hanging="360"/>
      </w:pPr>
      <w:hyperlink w:anchor="DLAD_SUBPART_11_3">
        <w:r>
          <w:rPr>
            <w:rStyle w:val="Hyperlink"/>
            <w:rFonts w:ascii="Times New Roman" w:hAnsi="Times New Roman"/>
            <w:b w:val="false"/>
            <w:i w:val="false"/>
            <w:color w:val="0000ff"/>
            <w:sz w:val="22"/>
            <w:u w:val="single"/>
          </w:rPr>
          <w:t>Subpart 11.3 - ACCEPTABLE MATERIAL</w:t>
        </w:r>
      </w:hyperlink>
    </w:p>
    <w:p>
      <w:pPr>
        <w:spacing w:after="0"/>
        <w:jc w:val="left"/>
        <w:ind w:left="1440" w:hanging="360"/>
      </w:pPr>
      <w:hyperlink w:anchor="DLAD_11_302">
        <w:r>
          <w:rPr>
            <w:rStyle w:val="Hyperlink"/>
            <w:rFonts w:ascii="Times New Roman" w:hAnsi="Times New Roman"/>
            <w:b w:val="false"/>
            <w:i w:val="false"/>
            <w:color w:val="0000ff"/>
            <w:sz w:val="22"/>
            <w:u w:val="single"/>
          </w:rPr>
          <w:t>11.302 Policy.</w:t>
        </w:r>
      </w:hyperlink>
    </w:p>
    <w:p>
      <w:pPr>
        <w:spacing w:after="0"/>
        <w:jc w:val="left"/>
        <w:ind w:left="1440" w:hanging="360"/>
      </w:pPr>
      <w:hyperlink w:anchor="DLAD_11_390">
        <w:r>
          <w:rPr>
            <w:rStyle w:val="Hyperlink"/>
            <w:rFonts w:ascii="Times New Roman" w:hAnsi="Times New Roman"/>
            <w:b w:val="false"/>
            <w:i w:val="false"/>
            <w:color w:val="0000ff"/>
            <w:sz w:val="22"/>
            <w:u w:val="single"/>
          </w:rPr>
          <w:t>11.390 Unused former Government surplus property.</w:t>
        </w:r>
      </w:hyperlink>
    </w:p>
    <w:p>
      <w:pPr>
        <w:spacing w:after="0"/>
        <w:jc w:val="left"/>
        <w:ind w:left="1440" w:hanging="360"/>
      </w:pPr>
      <w:hyperlink w:anchor="DLAD_11_391">
        <w:r>
          <w:rPr>
            <w:rStyle w:val="Hyperlink"/>
            <w:rFonts w:ascii="Times New Roman" w:hAnsi="Times New Roman"/>
            <w:b w:val="false"/>
            <w:i w:val="false"/>
            <w:color w:val="0000ff"/>
            <w:sz w:val="22"/>
            <w:u w:val="single"/>
          </w:rPr>
          <w:t>11.391 Part numbered items.</w:t>
        </w:r>
      </w:hyperlink>
    </w:p>
    <w:p>
      <w:pPr>
        <w:spacing w:after="0"/>
        <w:jc w:val="left"/>
        <w:ind w:left="1440" w:hanging="360"/>
      </w:pPr>
      <w:hyperlink w:anchor="DLAD_11_392">
        <w:r>
          <w:rPr>
            <w:rStyle w:val="Hyperlink"/>
            <w:rFonts w:ascii="Times New Roman" w:hAnsi="Times New Roman"/>
            <w:b w:val="false"/>
            <w:i w:val="false"/>
            <w:color w:val="0000ff"/>
            <w:sz w:val="22"/>
            <w:u w:val="single"/>
          </w:rPr>
          <w:t>11.392 Traceability documentation.</w:t>
        </w:r>
      </w:hyperlink>
    </w:p>
    <w:p>
      <w:pPr>
        <w:spacing w:after="0"/>
        <w:jc w:val="left"/>
        <w:ind w:left="720" w:hanging="360"/>
      </w:pPr>
      <w:hyperlink w:anchor="DLAD_SUBPART_11_4">
        <w:r>
          <w:rPr>
            <w:rStyle w:val="Hyperlink"/>
            <w:rFonts w:ascii="Times New Roman" w:hAnsi="Times New Roman"/>
            <w:b w:val="false"/>
            <w:i w:val="false"/>
            <w:color w:val="0000ff"/>
            <w:sz w:val="22"/>
            <w:u w:val="single"/>
          </w:rPr>
          <w:t>Subpart 11.4 - DELIVERY OR PERFORMANCE SCHEDULES</w:t>
        </w:r>
      </w:hyperlink>
    </w:p>
    <w:p>
      <w:pPr>
        <w:spacing w:after="0"/>
        <w:jc w:val="left"/>
        <w:ind w:left="1440" w:hanging="360"/>
      </w:pPr>
      <w:hyperlink w:anchor="DLAD_11_401">
        <w:r>
          <w:rPr>
            <w:rStyle w:val="Hyperlink"/>
            <w:rFonts w:ascii="Times New Roman" w:hAnsi="Times New Roman"/>
            <w:b w:val="false"/>
            <w:i w:val="false"/>
            <w:color w:val="0000ff"/>
            <w:sz w:val="22"/>
            <w:u w:val="single"/>
          </w:rPr>
          <w:t>11.401 General.</w:t>
        </w:r>
      </w:hyperlink>
    </w:p>
    <w:p>
      <w:pPr>
        <w:spacing w:after="0"/>
        <w:jc w:val="left"/>
        <w:ind w:left="1440" w:hanging="360"/>
      </w:pPr>
      <w:hyperlink w:anchor="DLAD_11_402-90">
        <w:r>
          <w:rPr>
            <w:rStyle w:val="Hyperlink"/>
            <w:rFonts w:ascii="Times New Roman" w:hAnsi="Times New Roman"/>
            <w:b w:val="false"/>
            <w:i w:val="false"/>
            <w:color w:val="0000ff"/>
            <w:sz w:val="22"/>
            <w:u w:val="single"/>
          </w:rPr>
          <w:t>11.402-90 Time definite delivery (TDD) standards.</w:t>
        </w:r>
      </w:hyperlink>
    </w:p>
    <w:p>
      <w:pPr>
        <w:spacing w:after="0"/>
        <w:jc w:val="left"/>
        <w:ind w:left="1440" w:hanging="360"/>
      </w:pPr>
      <w:hyperlink w:anchor="DLAD_11_402-91">
        <w:r>
          <w:rPr>
            <w:rStyle w:val="Hyperlink"/>
            <w:rFonts w:ascii="Times New Roman" w:hAnsi="Times New Roman"/>
            <w:b w:val="false"/>
            <w:i w:val="false"/>
            <w:color w:val="0000ff"/>
            <w:sz w:val="22"/>
            <w:u w:val="single"/>
          </w:rPr>
          <w:t>11.402-91 TDD standards exclusions.</w:t>
        </w:r>
      </w:hyperlink>
    </w:p>
    <w:p>
      <w:pPr>
        <w:spacing w:after="0"/>
        <w:jc w:val="left"/>
        <w:ind w:left="720" w:hanging="360"/>
      </w:pPr>
      <w:hyperlink w:anchor="DLAD_SUBPART_11_5">
        <w:r>
          <w:rPr>
            <w:rStyle w:val="Hyperlink"/>
            <w:rFonts w:ascii="Times New Roman" w:hAnsi="Times New Roman"/>
            <w:b w:val="false"/>
            <w:i w:val="false"/>
            <w:color w:val="0000ff"/>
            <w:sz w:val="22"/>
            <w:u w:val="single"/>
          </w:rPr>
          <w:t>Subpart 11.5 - LIQUIDATED DAMAGES</w:t>
        </w:r>
      </w:hyperlink>
    </w:p>
    <w:p>
      <w:pPr>
        <w:spacing w:after="0"/>
        <w:jc w:val="left"/>
        <w:ind w:left="1440" w:hanging="360"/>
      </w:pPr>
      <w:hyperlink w:anchor="DLAD_11_501">
        <w:r>
          <w:rPr>
            <w:rStyle w:val="Hyperlink"/>
            <w:rFonts w:ascii="Times New Roman" w:hAnsi="Times New Roman"/>
            <w:b w:val="false"/>
            <w:i w:val="false"/>
            <w:color w:val="0000ff"/>
            <w:sz w:val="22"/>
            <w:u w:val="single"/>
          </w:rPr>
          <w:t>11.501 Policy.</w:t>
        </w:r>
      </w:hyperlink>
    </w:p>
    <w:p>
      <w:pPr>
        <w:spacing w:after="0"/>
        <w:jc w:val="left"/>
        <w:ind w:left="720" w:hanging="360"/>
      </w:pPr>
      <w:hyperlink w:anchor="DLAD_SUBPART_11_6">
        <w:r>
          <w:rPr>
            <w:rStyle w:val="Hyperlink"/>
            <w:rFonts w:ascii="Times New Roman" w:hAnsi="Times New Roman"/>
            <w:b w:val="false"/>
            <w:i w:val="false"/>
            <w:color w:val="0000ff"/>
            <w:sz w:val="22"/>
            <w:u w:val="single"/>
          </w:rPr>
          <w:t>Subpart 11.6 - PRIORITIES AND ALLOCATIONS</w:t>
        </w:r>
      </w:hyperlink>
    </w:p>
    <w:p>
      <w:pPr>
        <w:spacing w:after="0"/>
        <w:jc w:val="left"/>
        <w:ind w:left="1440" w:hanging="360"/>
      </w:pPr>
      <w:hyperlink w:anchor="DLAD_11_603">
        <w:r>
          <w:rPr>
            <w:rStyle w:val="Hyperlink"/>
            <w:rFonts w:ascii="Times New Roman" w:hAnsi="Times New Roman"/>
            <w:b w:val="false"/>
            <w:i w:val="false"/>
            <w:color w:val="0000ff"/>
            <w:sz w:val="22"/>
            <w:u w:val="single"/>
          </w:rPr>
          <w:t>11.603 Procedures.</w:t>
        </w:r>
      </w:hyperlink>
    </w:p>
    <w:p>
      <w:pPr>
        <w:spacing w:after="0"/>
        <w:jc w:val="left"/>
        <w:ind w:left="720" w:hanging="360"/>
      </w:pPr>
      <w:hyperlink w:anchor="DLAD_SUBPART_11_7">
        <w:r>
          <w:rPr>
            <w:rStyle w:val="Hyperlink"/>
            <w:rFonts w:ascii="Times New Roman" w:hAnsi="Times New Roman"/>
            <w:b w:val="false"/>
            <w:i w:val="false"/>
            <w:color w:val="0000ff"/>
            <w:sz w:val="22"/>
            <w:u w:val="single"/>
          </w:rPr>
          <w:t>Subpart 11.7 - VARIATION IN QUANTITY</w:t>
        </w:r>
      </w:hyperlink>
    </w:p>
    <w:p>
      <w:pPr>
        <w:spacing w:after="0"/>
        <w:jc w:val="left"/>
        <w:ind w:left="1440" w:hanging="360"/>
      </w:pPr>
      <w:hyperlink w:anchor="DLAD_11_701">
        <w:r>
          <w:rPr>
            <w:rStyle w:val="Hyperlink"/>
            <w:rFonts w:ascii="Times New Roman" w:hAnsi="Times New Roman"/>
            <w:b w:val="false"/>
            <w:i w:val="false"/>
            <w:color w:val="0000ff"/>
            <w:sz w:val="22"/>
            <w:u w:val="single"/>
          </w:rPr>
          <w:t>11.701 Supply contracts.</w:t>
        </w:r>
      </w:hyperlink>
    </w:p>
    <w:p>
      <w:pPr>
        <w:spacing w:after="0"/>
        <w:jc w:val="left"/>
        <w:ind w:left="720" w:hanging="360"/>
      </w:pPr>
      <w:hyperlink w:anchor="DLAD_SUBPART_11_90">
        <w:r>
          <w:rPr>
            <w:rStyle w:val="Hyperlink"/>
            <w:rFonts w:ascii="Times New Roman" w:hAnsi="Times New Roman"/>
            <w:b w:val="false"/>
            <w:i w:val="false"/>
            <w:color w:val="0000ff"/>
            <w:sz w:val="22"/>
            <w:u w:val="single"/>
          </w:rPr>
          <w:t>Subpart 11.90 - PRODUCT PHASE-OUT</w:t>
        </w:r>
      </w:hyperlink>
    </w:p>
    <w:p>
      <w:pPr>
        <w:spacing w:after="0"/>
        <w:jc w:val="left"/>
        <w:ind w:left="1440" w:hanging="360"/>
      </w:pPr>
      <w:hyperlink w:anchor="DLAD_11_9001">
        <w:r>
          <w:rPr>
            <w:rStyle w:val="Hyperlink"/>
            <w:rFonts w:ascii="Times New Roman" w:hAnsi="Times New Roman"/>
            <w:b w:val="false"/>
            <w:i w:val="false"/>
            <w:color w:val="0000ff"/>
            <w:sz w:val="22"/>
            <w:u w:val="single"/>
          </w:rPr>
          <w:t>11.9001 Notification of product phase-out.</w:t>
        </w:r>
      </w:hyperlink>
    </w:p>
    <w:p>
      <w:pPr>
        <w:spacing w:after="0"/>
        <w:jc w:val="left"/>
        <w:ind w:left="720" w:hanging="360"/>
      </w:pPr>
      <w:hyperlink w:anchor="DLAD_SUBPART_11_91">
        <w:r>
          <w:rPr>
            <w:rStyle w:val="Hyperlink"/>
            <w:rFonts w:ascii="Times New Roman" w:hAnsi="Times New Roman"/>
            <w:b w:val="false"/>
            <w:i w:val="false"/>
            <w:color w:val="0000ff"/>
            <w:sz w:val="22"/>
            <w:u w:val="single"/>
          </w:rPr>
          <w:t>Subpart 11.91 - ADDITIVE MANUFACTURING</w:t>
        </w:r>
      </w:hyperlink>
    </w:p>
    <w:p>
      <w:pPr>
        <w:spacing w:after="0"/>
        <w:jc w:val="left"/>
        <w:ind w:left="1440" w:hanging="360"/>
      </w:pPr>
      <w:hyperlink w:anchor="DLAD_11_9101">
        <w:r>
          <w:rPr>
            <w:rStyle w:val="Hyperlink"/>
            <w:rFonts w:ascii="Times New Roman" w:hAnsi="Times New Roman"/>
            <w:b w:val="false"/>
            <w:i w:val="false"/>
            <w:color w:val="0000ff"/>
            <w:sz w:val="22"/>
            <w:u w:val="single"/>
          </w:rPr>
          <w:t>11.9101 Procurement note.</w:t>
        </w:r>
      </w:hyperlink>
    </w:p>
    <w:p>
      <w:pPr>
        <w:spacing w:after="0"/>
        <w:jc w:val="left"/>
        <w:ind w:left="720" w:hanging="360"/>
      </w:pPr>
      <w:hyperlink w:anchor="DLAD_SUBPART_11_92">
        <w:r>
          <w:rPr>
            <w:rStyle w:val="Hyperlink"/>
            <w:rFonts w:ascii="Times New Roman" w:hAnsi="Times New Roman"/>
            <w:b w:val="false"/>
            <w:i w:val="false"/>
            <w:color w:val="0000ff"/>
            <w:sz w:val="22"/>
            <w:u w:val="single"/>
          </w:rPr>
          <w:t>Subpart 11.92 - FEDERAL AVIATION ADMINISTRATION (FAA) CERTIFIED PARTS</w:t>
        </w:r>
      </w:hyperlink>
    </w:p>
    <w:p>
      <w:pPr>
        <w:spacing w:after="0"/>
        <w:jc w:val="left"/>
        <w:ind w:left="1440" w:hanging="360"/>
      </w:pPr>
      <w:hyperlink w:anchor="DLAD_11_9201">
        <w:r>
          <w:rPr>
            <w:rStyle w:val="Hyperlink"/>
            <w:rFonts w:ascii="Times New Roman" w:hAnsi="Times New Roman"/>
            <w:b w:val="false"/>
            <w:i w:val="false"/>
            <w:color w:val="0000ff"/>
            <w:sz w:val="22"/>
            <w:u w:val="single"/>
          </w:rPr>
          <w:t>11.9201 Acquisition of FAA certified parts for consumable items.</w:t>
        </w:r>
      </w:hyperlink>
    </w:p>
    <w:p>
      <w:pPr>
        <w:spacing w:after="0"/>
        <w:jc w:val="left"/>
        <w:ind w:left="1440" w:hanging="360"/>
      </w:pPr>
      <w:hyperlink w:anchor="DLAD_11_9202">
        <w:r>
          <w:rPr>
            <w:rStyle w:val="Hyperlink"/>
            <w:rFonts w:ascii="Times New Roman" w:hAnsi="Times New Roman"/>
            <w:b w:val="false"/>
            <w:i w:val="false"/>
            <w:color w:val="0000ff"/>
            <w:sz w:val="22"/>
            <w:u w:val="single"/>
          </w:rPr>
          <w:t>11.9202 Acquisition of FAA certified parts for depot level repairable (DLR) items.</w:t>
        </w:r>
      </w:hyperlink>
    </w:p>
    <!-- Created by docx4j 6.1.2 (Apache licensed) using REFERENCE JAXB in Oracle Java 15 on Linux -->
    <w:p>
      <w:pPr>
        <w:pStyle w:val="Heading2"/>
        <w:spacing w:after="180"/>
        <w:ind w:left="120"/>
        <w:jc w:val="center"/>
      </w:pPr>
      <w:bookmarkStart w:name="DLAD_SUBPART_11_1" w:id="1"/>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103" w:id="2"/>
      <w:r>
        <w:rPr>
          <w:rFonts w:ascii="Times New Roman" w:hAnsi="Times New Roman"/>
          <w:color w:val="000000"/>
          <w:sz w:val="31"/>
        </w:rPr>
        <w:t>11.103</w:t>
      </w:r>
      <w:r>
        <w:rPr>
          <w:rFonts w:ascii="Times New Roman" w:hAnsi="Times New Roman"/>
          <w:color w:val="000000"/>
          <w:sz w:val="31"/>
        </w:rPr>
        <w:t xml:space="preserve"> Market acceptance.</w:t>
      </w:r>
      <w:bookmarkEnd w:id="2"/>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require the demonstration in coordination with the product specialist, Office of Counsel, and procuring organization COMPAD.</w:t>
      </w:r>
    </w:p>
    <!-- Created by docx4j 6.1.2 (Apache licensed) using REFERENCE JAXB in Oracle Java 15 on Linux -->
    <w:p>
      <w:pPr>
        <w:pStyle w:val="Heading2"/>
        <w:spacing w:after="180"/>
        <w:ind w:left="120"/>
        <w:jc w:val="center"/>
      </w:pPr>
      <w:bookmarkStart w:name="DLAD_SUBPART_11_2" w:id="3"/>
      <w:r>
        <w:rPr>
          <w:rFonts w:ascii="Times New Roman" w:hAnsi="Times New Roman"/>
          <w:color w:val="000000"/>
          <w:sz w:val="36"/>
        </w:rPr>
        <w:t>Subpart 11.2</w:t>
      </w:r>
      <w:r>
        <w:rPr>
          <w:rFonts w:ascii="Times New Roman" w:hAnsi="Times New Roman"/>
          <w:color w:val="000000"/>
          <w:sz w:val="36"/>
        </w:rPr>
        <w:t xml:space="preserve"> - USING AND MAINTAINING REQUIREMENTS DOCUMENTS</w:t>
      </w:r>
      <w:bookmarkEnd w:id="3"/>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201" w:id="4"/>
      <w:r>
        <w:rPr>
          <w:rFonts w:ascii="Times New Roman" w:hAnsi="Times New Roman"/>
          <w:color w:val="000000"/>
          <w:sz w:val="31"/>
        </w:rPr>
        <w:t>11.201</w:t>
      </w:r>
      <w:r>
        <w:rPr>
          <w:rFonts w:ascii="Times New Roman" w:hAnsi="Times New Roman"/>
          <w:color w:val="000000"/>
          <w:sz w:val="31"/>
        </w:rPr>
        <w:t xml:space="preserve"> Identification and availability of specifications.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pPr>
        <w:pBdr>
          <w:top w:space="5"/>
          <w:left w:space="5"/>
          <w:bottom w:space="5"/>
          <w:right w:space="5"/>
        </w:pBdr>
        <w:spacing w:after="0"/>
        <w:ind w:left="225"/>
        <w:jc w:val="left"/>
      </w:pPr>
      <w:r>
        <w:rPr>
          <w:rFonts w:ascii="Times New Roman" w:hAnsi="Times New Roman"/>
          <w:b w:val="false"/>
          <w:i w:val="false"/>
          <w:color w:val="000000"/>
          <w:sz w:val="22"/>
        </w:rPr>
        <w:t>(b) The product data specialist shall attach other non-index documents to the Document Management System in EBS. The product data specialist shall attach the EBS document to the Material Master.</w:t>
      </w:r>
    </w:p>
    <!-- Created by docx4j 6.1.2 (Apache licensed) using REFERENCE JAXB in Oracle Java 15 on Linux -->
    <w:p>
      <w:pPr>
        <w:pStyle w:val="Heading3"/>
        <w:spacing w:after="199"/>
        <w:ind w:left="120"/>
        <w:jc w:val="left"/>
      </w:pPr>
      <w:bookmarkStart w:name="DLAD_11_274" w:id="5"/>
      <w:r>
        <w:rPr>
          <w:rFonts w:ascii="Times New Roman" w:hAnsi="Times New Roman"/>
          <w:color w:val="000000"/>
          <w:sz w:val="31"/>
        </w:rPr>
        <w:t>11.274</w:t>
      </w:r>
      <w:r>
        <w:rPr>
          <w:rFonts w:ascii="Times New Roman" w:hAnsi="Times New Roman"/>
          <w:color w:val="000000"/>
          <w:sz w:val="31"/>
        </w:rPr>
        <w:t xml:space="preserve"> Item identification and valuation requirements.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1_274-2" w:id="6"/>
      <w:r>
        <w:rPr>
          <w:rFonts w:ascii="Times New Roman" w:hAnsi="Times New Roman"/>
          <w:color w:val="000000"/>
          <w:sz w:val="31"/>
        </w:rPr>
        <w:t>11.274-2</w:t>
      </w:r>
      <w:r>
        <w:rPr>
          <w:rFonts w:ascii="Times New Roman" w:hAnsi="Times New Roman"/>
          <w:color w:val="000000"/>
          <w:sz w:val="31"/>
        </w:rPr>
        <w:t xml:space="preserve"> Policy for unique item identification.</w:t>
      </w:r>
      <w:bookmarkEnd w:id="6"/>
    </w:p>
    <w:p>
      <w:pPr>
        <w:pBdr>
          <w:top w:space="5"/>
          <w:left w:space="5"/>
          <w:bottom w:space="5"/>
          <w:right w:space="5"/>
        </w:pBdr>
        <w:spacing w:after="0"/>
        <w:ind w:left="225"/>
        <w:jc w:val="left"/>
      </w:pPr>
      <w:r>
        <w:rPr>
          <w:rFonts w:ascii="Times New Roman" w:hAnsi="Times New Roman"/>
          <w:b w:val="false"/>
          <w:i w:val="false"/>
          <w:color w:val="000000"/>
          <w:sz w:val="22"/>
        </w:rPr>
        <w:t>(b)(2) Submit the D&amp;F to the DLA Acquisition Operations Division.</w:t>
      </w:r>
    </w:p>
    <!-- Created by docx4j 6.1.2 (Apache licensed) using REFERENCE JAXB in Oracle Java 15 on Linux -->
    <w:p>
      <w:pPr>
        <w:pStyle w:val="Heading2"/>
        <w:spacing w:after="180"/>
        <w:ind w:left="120"/>
        <w:jc w:val="center"/>
      </w:pPr>
      <w:bookmarkStart w:name="DLAD_SUBPART_11_3" w:id="7"/>
      <w:r>
        <w:rPr>
          <w:rFonts w:ascii="Times New Roman" w:hAnsi="Times New Roman"/>
          <w:color w:val="000000"/>
          <w:sz w:val="36"/>
        </w:rPr>
        <w:t>Subpart 11.3</w:t>
      </w:r>
      <w:r>
        <w:rPr>
          <w:rFonts w:ascii="Times New Roman" w:hAnsi="Times New Roman"/>
          <w:color w:val="000000"/>
          <w:sz w:val="36"/>
        </w:rPr>
        <w:t xml:space="preserve"> - ACCEPTABLE MATERIAL</w:t>
      </w:r>
      <w:bookmarkEnd w:id="7"/>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302" w:id="8"/>
      <w:r>
        <w:rPr>
          <w:rFonts w:ascii="Times New Roman" w:hAnsi="Times New Roman"/>
          <w:color w:val="000000"/>
          <w:sz w:val="31"/>
        </w:rPr>
        <w:t>11.302</w:t>
      </w:r>
      <w:r>
        <w:rPr>
          <w:rFonts w:ascii="Times New Roman" w:hAnsi="Times New Roman"/>
          <w:color w:val="000000"/>
          <w:sz w:val="31"/>
        </w:rPr>
        <w:t xml:space="preserve"> Policy.</w:t>
      </w:r>
      <w:bookmarkEnd w:id="8"/>
    </w:p>
    <w:p>
      <w:pPr>
        <w:pBdr>
          <w:top w:space="5"/>
          <w:left w:space="5"/>
          <w:bottom w:space="5"/>
          <w:right w:space="5"/>
        </w:pBdr>
        <w:spacing w:after="0"/>
        <w:ind w:left="225"/>
        <w:jc w:val="left"/>
      </w:pPr>
      <w:r>
        <w:rPr>
          <w:rFonts w:ascii="Times New Roman" w:hAnsi="Times New Roman"/>
          <w:b w:val="false"/>
          <w:i w:val="false"/>
          <w:color w:val="000000"/>
          <w:sz w:val="22"/>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 Created by docx4j 6.1.2 (Apache licensed) using REFERENCE JAXB in Oracle Java 15 on Linux -->
    <w:p>
      <w:pPr>
        <w:pStyle w:val="Heading3"/>
        <w:spacing w:after="199"/>
        <w:ind w:left="120"/>
        <w:jc w:val="left"/>
      </w:pPr>
      <w:bookmarkStart w:name="DLAD_11_390" w:id="9"/>
      <w:r>
        <w:rPr>
          <w:rFonts w:ascii="Times New Roman" w:hAnsi="Times New Roman"/>
          <w:color w:val="000000"/>
          <w:sz w:val="31"/>
        </w:rPr>
        <w:t>11.390</w:t>
      </w:r>
      <w:r>
        <w:rPr>
          <w:rFonts w:ascii="Times New Roman" w:hAnsi="Times New Roman"/>
          <w:color w:val="000000"/>
          <w:sz w:val="31"/>
        </w:rPr>
        <w:t xml:space="preserve"> Unused former Government surplus property.</w:t>
      </w:r>
      <w:bookmarkEnd w:id="9"/>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C04 unless there is a documented restriction for unused former Government surplus property material.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C04 Unused Former Government Surplus Property (DEC 2016)</w:t>
      </w:r>
    </w:p>
    <w:p>
      <w:pPr>
        <w:pStyle w:val="Normal"/>
        <w:pBdr>
          <w:top w:space="5"/>
          <w:left w:space="5"/>
          <w:bottom w:space="5"/>
          <w:right w:space="5"/>
        </w:pBdr>
        <w:spacing w:after="0"/>
        <w:ind w:left="225"/>
        <w:jc w:val="left"/>
      </w:pPr>
      <w:r>
        <w:rPr>
          <w:rFonts w:ascii="Times New Roman" w:hAnsi="Times New Roman"/>
          <w:color w:val="000000"/>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The material is new, unused, and not of such age or so deteriorated as to impair its usefulness or safety. Yes __No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technical requirements cited in the solicitation (e.g., Commercial and Government Entity (CAGE) Code and part number, specification, etc.). Yes __ 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revision letter/number, if any is cited. Yes __ No __ Unknown __</w:t>
      </w:r>
    </w:p>
    <w:p>
      <w:pPr>
        <w:pBdr>
          <w:top w:space="5"/>
          <w:left w:space="5"/>
          <w:bottom w:space="5"/>
          <w:right w:space="5"/>
        </w:pBdr>
        <w:spacing w:after="0"/>
        <w:ind w:left="225"/>
        <w:jc w:val="left"/>
      </w:pPr>
      <w:r>
        <w:rPr>
          <w:rFonts w:ascii="Times New Roman" w:hAnsi="Times New Roman"/>
          <w:b w:val="false"/>
          <w:i w:val="false"/>
          <w:color w:val="000000"/>
          <w:sz w:val="22"/>
        </w:rPr>
        <w:t>If No, the revision does not affect form, fit, function, or interface. Yes__ No __ Unknown __</w:t>
      </w:r>
    </w:p>
    <w:p>
      <w:pPr>
        <w:pBdr>
          <w:top w:space="5"/>
          <w:left w:space="5"/>
          <w:bottom w:space="5"/>
          <w:right w:space="5"/>
        </w:pBdr>
        <w:spacing w:after="0"/>
        <w:ind w:left="225"/>
        <w:jc w:val="left"/>
      </w:pPr>
      <w:r>
        <w:rPr>
          <w:rFonts w:ascii="Times New Roman" w:hAnsi="Times New Roman"/>
          <w:b w:val="false"/>
          <w:i w:val="false"/>
          <w:color w:val="000000"/>
          <w:sz w:val="22"/>
        </w:rPr>
        <w:t>The material was manufactured by:</w:t>
      </w:r>
    </w:p>
    <w:p>
      <w:pPr>
        <w:pBdr>
          <w:top w:space="5"/>
          <w:left w:space="5"/>
          <w:bottom w:space="5"/>
          <w:right w:space="5"/>
        </w:pBdr>
        <w:spacing w:after="0"/>
        <w:ind w:left="225"/>
        <w:jc w:val="left"/>
      </w:pPr>
      <w:r>
        <w:rPr>
          <w:rFonts w:ascii="Times New Roman" w:hAnsi="Times New Roman"/>
          <w:b w:val="false"/>
          <w:i w:val="false"/>
          <w:color w:val="000000"/>
          <w:sz w:val="22"/>
        </w:rPr>
        <w:t>(Name):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(2) The offeror currently possesses the material Yes __No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purchased the material from a Government selling agency or other source</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Yes __No __ If yes, provide the following:</w:t>
      </w:r>
    </w:p>
    <w:p>
      <w:pPr>
        <w:pBdr>
          <w:top w:space="5"/>
          <w:left w:space="5"/>
          <w:bottom w:space="5"/>
          <w:right w:space="5"/>
        </w:pBdr>
        <w:spacing w:after="0"/>
        <w:ind w:left="225"/>
        <w:jc w:val="left"/>
      </w:pPr>
      <w:r>
        <w:rPr>
          <w:rFonts w:ascii="Times New Roman" w:hAnsi="Times New Roman"/>
          <w:b w:val="false"/>
          <w:i w:val="false"/>
          <w:color w:val="000000"/>
          <w:sz w:val="22"/>
        </w:rPr>
        <w:t>Government Selling Agency: 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Date: (Month, 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Source: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Acquired: (Month/Year)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(3) The material has been altered or modified.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provide the name of the company that performed the alteration or modification and attach or forward to the contracting officer a complete description of the alterations or modifications.</w:t>
      </w:r>
    </w:p>
    <w:p>
      <w:pPr>
        <w:pBdr>
          <w:top w:space="5"/>
          <w:left w:space="5"/>
          <w:bottom w:space="5"/>
          <w:right w:space="5"/>
        </w:pBdr>
        <w:spacing w:after="0"/>
        <w:ind w:left="225"/>
        <w:jc w:val="left"/>
      </w:pPr>
      <w:r>
        <w:rPr>
          <w:rFonts w:ascii="Times New Roman" w:hAnsi="Times New Roman"/>
          <w:b w:val="false"/>
          <w:i w:val="false"/>
          <w:color w:val="000000"/>
          <w:sz w:val="22"/>
        </w:rPr>
        <w:t>(4) The material has been reconditioned.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pPr>
        <w:pBdr>
          <w:top w:space="5"/>
          <w:left w:space="5"/>
          <w:bottom w:space="5"/>
          <w:right w:space="5"/>
        </w:pBdr>
        <w:spacing w:after="0"/>
        <w:ind w:left="225"/>
        <w:jc w:val="left"/>
      </w:pPr>
      <w:r>
        <w:rPr>
          <w:rFonts w:ascii="Times New Roman" w:hAnsi="Times New Roman"/>
          <w:b w:val="false"/>
          <w:i w:val="false"/>
          <w:color w:val="000000"/>
          <w:sz w:val="22"/>
        </w:rPr>
        <w:t>The material contains cure-dated components.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includes replacement of cure-dated components. Yes __ No __; and (ii) provide cure date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The material has data plates attached.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state below all information contained thereon, or forward a copy or facsimile of the data plate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(6) The offered material is in its original package.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has stated below all original markings and data cited on the package; or has attached or forwarded to the contracting officer a copy or facsimile of original package markings:</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NSN_________________________________________________________________________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Part Number 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Markings/Data___________________________________________________________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(7) The offeror has supplied this same material (National Stock Number) to the Government before.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material being offered is from the same original Government contract number as that provided previously. Yes __ No __; and (ii) state below the Government Agency and contract number under which the material was previously provided:</w:t>
      </w:r>
    </w:p>
    <w:p>
      <w:pPr>
        <w:pBdr>
          <w:top w:space="5"/>
          <w:left w:space="5"/>
          <w:bottom w:space="5"/>
          <w:right w:space="5"/>
        </w:pBdr>
        <w:spacing w:after="0"/>
        <w:ind w:left="225"/>
        <w:jc w:val="left"/>
      </w:pPr>
      <w:r>
        <w:rPr>
          <w:rFonts w:ascii="Times New Roman" w:hAnsi="Times New Roman"/>
          <w:b w:val="false"/>
          <w:i w:val="false"/>
          <w:color w:val="000000"/>
          <w:sz w:val="22"/>
        </w:rPr>
        <w:t>Agency 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(8) The material is manufactured in accordance with a specification or drawing.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specification/drawing is in the possession of the offeror. Yes __ No __; and (ii) the offeror has stated the applicable information below, or forwarded a copy or facsimile to the contracting officer. Yes __ No __</w:t>
      </w:r>
    </w:p>
    <w:p>
      <w:pPr>
        <w:pBdr>
          <w:top w:space="5"/>
          <w:left w:space="5"/>
          <w:bottom w:space="5"/>
          <w:right w:space="5"/>
        </w:pBdr>
        <w:spacing w:after="0"/>
        <w:ind w:left="225"/>
        <w:jc w:val="left"/>
      </w:pPr>
      <w:r>
        <w:rPr>
          <w:rFonts w:ascii="Times New Roman" w:hAnsi="Times New Roman"/>
          <w:b w:val="false"/>
          <w:i w:val="false"/>
          <w:color w:val="000000"/>
          <w:sz w:val="22"/>
        </w:rPr>
        <w:t>Specification/Drawing Number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Revision (if any) 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(9) The material has been inspected for correct part number and for absence of corrosion or any obvious defects.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material has been re-preserved. Yes __ No __; (ii) material has been repackaged.</w:t>
      </w:r>
    </w:p>
    <w:p>
      <w:pPr>
        <w:pBdr>
          <w:top w:space="5"/>
          <w:left w:space="5"/>
          <w:bottom w:space="5"/>
          <w:right w:space="5"/>
        </w:pBdr>
        <w:spacing w:after="0"/>
        <w:ind w:left="225"/>
        <w:jc w:val="left"/>
      </w:pPr>
      <w:r>
        <w:rPr>
          <w:rFonts w:ascii="Times New Roman" w:hAnsi="Times New Roman"/>
          <w:b w:val="false"/>
          <w:i w:val="false"/>
          <w:color w:val="000000"/>
          <w:sz w:val="22"/>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pPr>
        <w:pBdr>
          <w:top w:space="5"/>
          <w:left w:space="5"/>
          <w:bottom w:space="5"/>
          <w:right w:space="5"/>
        </w:pBdr>
        <w:spacing w:after="0"/>
        <w:ind w:left="225"/>
        <w:jc w:val="left"/>
      </w:pPr>
      <w:r>
        <w:rPr>
          <w:rFonts w:ascii="Times New Roman" w:hAnsi="Times New Roman"/>
          <w:b w:val="false"/>
          <w:i w:val="false"/>
          <w:color w:val="000000"/>
          <w:sz w:val="22"/>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pPr>
        <w:pBdr>
          <w:top w:space="5"/>
          <w:left w:space="5"/>
          <w:bottom w:space="5"/>
          <w:right w:space="5"/>
        </w:pBdr>
        <w:spacing w:after="0"/>
        <w:ind w:left="225"/>
        <w:jc w:val="left"/>
      </w:pPr>
      <w:r>
        <w:rPr>
          <w:rFonts w:ascii="Times New Roman" w:hAnsi="Times New Roman"/>
          <w:b w:val="false"/>
          <w:i w:val="false"/>
          <w:color w:val="000000"/>
          <w:sz w:val="22"/>
        </w:rPr>
        <w:t>The offeror has attached or forwarded to the contracting officer one of the following, to demonstrate that the material being offered was previously owned by the Government (offeror check which one applies):</w:t>
      </w:r>
    </w:p>
    <w:p>
      <w:pPr>
        <w:pBdr>
          <w:top w:space="5"/>
          <w:left w:space="5"/>
          <w:bottom w:space="5"/>
          <w:right w:space="5"/>
        </w:pBdr>
        <w:spacing w:after="0"/>
        <w:ind w:left="225"/>
        <w:jc w:val="left"/>
      </w:pPr>
      <w:r>
        <w:rPr>
          <w:rFonts w:ascii="Times New Roman" w:hAnsi="Times New Roman"/>
          <w:b w:val="false"/>
          <w:i w:val="false"/>
          <w:color w:val="000000"/>
          <w:sz w:val="22"/>
        </w:rPr>
        <w:t>___ For national or local sales, conducted by sealed bid, spot bid or auction methods, a solicitation/Invitation For Bid and corresponding DLA Disposition Services Form 1427, Notice of Award, Statement and Release Document.</w:t>
      </w:r>
    </w:p>
    <w:p>
      <w:pPr>
        <w:pBdr>
          <w:top w:space="5"/>
          <w:left w:space="5"/>
          <w:bottom w:space="5"/>
          <w:right w:space="5"/>
        </w:pBdr>
        <w:spacing w:after="0"/>
        <w:ind w:left="225"/>
        <w:jc w:val="left"/>
      </w:pPr>
      <w:r>
        <w:rPr>
          <w:rFonts w:ascii="Times New Roman" w:hAnsi="Times New Roman"/>
          <w:b w:val="false"/>
          <w:i w:val="false"/>
          <w:color w:val="000000"/>
          <w:sz w:val="22"/>
        </w:rPr>
        <w:t>___ For DLA Disposition Services Commercial Venture (CV) Sales, the shipment receipt/delivery pass document and invoices/receipts used by the original purchaser to resell the material.</w:t>
      </w:r>
    </w:p>
    <w:p>
      <w:pPr>
        <w:pBdr>
          <w:top w:space="5"/>
          <w:left w:space="5"/>
          <w:bottom w:space="5"/>
          <w:right w:space="5"/>
        </w:pBdr>
        <w:spacing w:after="0"/>
        <w:ind w:left="225"/>
        <w:jc w:val="left"/>
      </w:pPr>
      <w:r>
        <w:rPr>
          <w:rFonts w:ascii="Times New Roman" w:hAnsi="Times New Roman"/>
          <w:b w:val="false"/>
          <w:i w:val="false"/>
          <w:color w:val="000000"/>
          <w:sz w:val="22"/>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pPr>
        <w:pBdr>
          <w:top w:space="5"/>
          <w:left w:space="5"/>
          <w:bottom w:space="5"/>
          <w:right w:space="5"/>
        </w:pBdr>
        <w:spacing w:after="0"/>
        <w:ind w:left="225"/>
        <w:jc w:val="left"/>
      </w:pPr>
      <w:r>
        <w:rPr>
          <w:rFonts w:ascii="Times New Roman" w:hAnsi="Times New Roman"/>
          <w:b w:val="false"/>
          <w:i w:val="false"/>
          <w:color w:val="000000"/>
          <w:sz w:val="22"/>
        </w:rPr>
        <w:t>___ When none of the above are available, other information to demonstrate that the offered material was previously owned by the Government. Describe and/or attach.</w:t>
      </w:r>
    </w:p>
    <w:p>
      <w:pPr>
        <w:pBdr>
          <w:top w:space="5"/>
          <w:left w:space="5"/>
          <w:bottom w:space="5"/>
          <w:right w:space="5"/>
        </w:pBdr>
        <w:spacing w:after="0"/>
        <w:ind w:left="225"/>
        <w:jc w:val="left"/>
      </w:pPr>
      <w:r>
        <w:rPr>
          <w:rFonts w:ascii="Times New Roman" w:hAnsi="Times New Roman"/>
          <w:b w:val="false"/>
          <w:i w:val="false"/>
          <w:color w:val="000000"/>
          <w:sz w:val="22"/>
        </w:rPr>
        <w:t>This 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w:pPr>
        <w:pBdr>
          <w:top w:space="5"/>
          <w:left w:space="5"/>
          <w:bottom w:space="5"/>
          <w:right w:space="5"/>
        </w:pBdr>
        <w:spacing w:after="0"/>
        <w:ind w:left="225"/>
        <w:jc w:val="left"/>
      </w:pPr>
      <w:r>
        <w:rPr>
          <w:rFonts w:ascii="Times New Roman" w:hAnsi="Times New Roman"/>
          <w:b w:val="false"/>
          <w:i w:val="false"/>
          <w:color w:val="000000"/>
          <w:sz w:val="22"/>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pPr>
        <w:pBdr>
          <w:top w:space="5"/>
          <w:left w:space="5"/>
          <w:bottom w:space="5"/>
          <w:right w:space="5"/>
        </w:pBdr>
        <w:spacing w:after="0"/>
        <w:ind w:left="225"/>
        <w:jc w:val="left"/>
      </w:pPr>
      <w:r>
        <w:rPr>
          <w:rFonts w:ascii="Times New Roman" w:hAnsi="Times New Roman"/>
          <w:b w:val="false"/>
          <w:i w:val="false"/>
          <w:color w:val="000000"/>
          <w:sz w:val="22"/>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(b)(1) 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M05 Evaluation Factor for Unused Former Government Surplus Property (SEP 2016)</w:t>
      </w:r>
    </w:p>
    <w:p>
      <w:pPr>
        <w:pBdr>
          <w:top w:space="5"/>
          <w:left w:space="5"/>
          <w:bottom w:space="5"/>
          <w:right w:space="5"/>
        </w:pBdr>
        <w:spacing w:after="0"/>
        <w:ind w:left="225"/>
        <w:jc w:val="left"/>
      </w:pPr>
      <w:r>
        <w:rPr>
          <w:rFonts w:ascii="Times New Roman" w:hAnsi="Times New Roman"/>
          <w:b w:val="false"/>
          <w:i w:val="false"/>
          <w:color w:val="000000"/>
          <w:sz w:val="22"/>
        </w:rPr>
        <w:t>(1) All offers for unused former Government surplus property shall have a $200 evaluation factor.</w:t>
      </w:r>
    </w:p>
    <w:p>
      <w:pPr>
        <w:pBdr>
          <w:top w:space="5"/>
          <w:left w:space="5"/>
          <w:bottom w:space="5"/>
          <w:right w:space="5"/>
        </w:pBdr>
        <w:spacing w:after="0"/>
        <w:ind w:left="225"/>
        <w:jc w:val="left"/>
      </w:pPr>
      <w:r>
        <w:rPr>
          <w:rFonts w:ascii="Times New Roman" w:hAnsi="Times New Roman"/>
          <w:b w:val="false"/>
          <w:i w:val="false"/>
          <w:color w:val="000000"/>
          <w:sz w:val="22"/>
        </w:rPr>
        <w:t>(2) All offers for CSI require evaluation by the ESA(s). An evaluation factor of $600 shall be applied for coordination with each ESA.</w:t>
      </w:r>
    </w:p>
    <w:p>
      <w:pPr>
        <w:pBdr>
          <w:top w:space="5"/>
          <w:left w:space="5"/>
          <w:bottom w:space="5"/>
          <w:right w:space="5"/>
        </w:pBdr>
        <w:spacing w:after="0"/>
        <w:ind w:left="225"/>
        <w:jc w:val="left"/>
      </w:pPr>
      <w:r>
        <w:rPr>
          <w:rFonts w:ascii="Times New Roman" w:hAnsi="Times New Roman"/>
          <w:b w:val="false"/>
          <w:i w:val="false"/>
          <w:color w:val="000000"/>
          <w:sz w:val="22"/>
        </w:rPr>
        <w:t>(3) If the contracting officer cannot determine acceptability and coordinates with the ESA(s) on other than CSI, an evaluation factor of $600 shall be applied for each ESA.</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evaluate offers for unused former Government surplus property. If additional information is required to make a determination of acceptability, the contracting officer shall allow the offeror 24 hours to submit the additional documentation. If the offeror fails to respond in a 24-hour period, the offer will be deemed unacceptable and evaluation will proceed to the next in line offer, unless it is the only offer. If the contracting officer requires technical assistance or the item is a CSI, they shall send a pre-award referral to the product specialist.</w:t>
      </w:r>
    </w:p>
    <!-- Created by docx4j 6.1.2 (Apache licensed) using REFERENCE JAXB in Oracle Java 15 on Linux -->
    <w:p>
      <w:pPr>
        <w:pStyle w:val="Heading3"/>
        <w:spacing w:after="199"/>
        <w:ind w:left="120"/>
        <w:jc w:val="left"/>
      </w:pPr>
      <w:bookmarkStart w:name="DLAD_11_391" w:id="10"/>
      <w:r>
        <w:rPr>
          <w:rFonts w:ascii="Times New Roman" w:hAnsi="Times New Roman"/>
          <w:color w:val="000000"/>
          <w:sz w:val="31"/>
        </w:rPr>
        <w:t>11.391</w:t>
      </w:r>
      <w:r>
        <w:rPr>
          <w:rFonts w:ascii="Times New Roman" w:hAnsi="Times New Roman"/>
          <w:color w:val="000000"/>
          <w:sz w:val="31"/>
        </w:rPr>
        <w:t xml:space="preserve"> Part numbered items.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Offers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C01 Superseded Part Numbered Items (SEP 2016)</w:t>
      </w:r>
    </w:p>
    <w:p>
      <w:pPr>
        <w:pStyle w:val="Normal"/>
        <w:pBdr>
          <w:top w:space="5"/>
          <w:left w:space="5"/>
          <w:bottom w:space="5"/>
          <w:right w:space="5"/>
        </w:pBdr>
        <w:spacing w:after="0"/>
        <w:ind w:left="225"/>
        <w:jc w:val="left"/>
      </w:pPr>
      <w:r>
        <w:rPr>
          <w:rFonts w:ascii="Times New Roman" w:hAnsi="Times New Roman"/>
          <w:color w:val="000000"/>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shall include procurement notes L04 and M06 when items are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L04 Offers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(a) For part numbered items,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Exact product – applies to contract line-item(s) (CLIN(s)): 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Alternate product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Superseding part number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Identify reason for superseding part number:</w:t>
      </w:r>
    </w:p>
    <w:p>
      <w:pPr>
        <w:pBdr>
          <w:top w:space="5"/>
          <w:left w:space="5"/>
          <w:bottom w:space="5"/>
          <w:right w:space="5"/>
        </w:pBdr>
        <w:spacing w:after="0"/>
        <w:ind w:left="225"/>
        <w:jc w:val="left"/>
      </w:pPr>
      <w:r>
        <w:rPr>
          <w:rFonts w:ascii="Times New Roman" w:hAnsi="Times New Roman"/>
          <w:b w:val="false"/>
          <w:i w:val="false"/>
          <w:color w:val="000000"/>
          <w:sz w:val="22"/>
        </w:rPr>
        <w:t>Administrative P/N change only: Yes____ No____</w:t>
      </w:r>
    </w:p>
    <w:p>
      <w:pPr>
        <w:pBdr>
          <w:top w:space="5"/>
          <w:left w:space="5"/>
          <w:bottom w:space="5"/>
          <w:right w:space="5"/>
        </w:pBdr>
        <w:spacing w:after="0"/>
        <w:ind w:left="225"/>
        <w:jc w:val="left"/>
      </w:pPr>
      <w:r>
        <w:rPr>
          <w:rFonts w:ascii="Times New Roman" w:hAnsi="Times New Roman"/>
          <w:b w:val="false"/>
          <w:i w:val="false"/>
          <w:color w:val="000000"/>
          <w:sz w:val="22"/>
        </w:rPr>
        <w:t>Minor change/No change in configuration: Yes____ No____</w:t>
      </w:r>
    </w:p>
    <w:p>
      <w:pPr>
        <w:pBdr>
          <w:top w:space="5"/>
          <w:left w:space="5"/>
          <w:bottom w:space="5"/>
          <w:right w:space="5"/>
        </w:pBdr>
        <w:spacing w:after="0"/>
        <w:ind w:left="225"/>
        <w:jc w:val="left"/>
      </w:pPr>
      <w:r>
        <w:rPr>
          <w:rFonts w:ascii="Times New Roman" w:hAnsi="Times New Roman"/>
          <w:b w:val="false"/>
          <w:i w:val="false"/>
          <w:color w:val="000000"/>
          <w:sz w:val="22"/>
        </w:rPr>
        <w:t>Previously-approved product – applies to CLIN(s): _____</w:t>
      </w:r>
    </w:p>
    <w:p>
      <w:pPr>
        <w:pBdr>
          <w:top w:space="5"/>
          <w:left w:space="5"/>
          <w:bottom w:space="5"/>
          <w:right w:space="5"/>
        </w:pBdr>
        <w:spacing w:after="0"/>
        <w:ind w:left="225"/>
        <w:jc w:val="left"/>
      </w:pPr>
      <w:r>
        <w:rPr>
          <w:rFonts w:ascii="Times New Roman" w:hAnsi="Times New Roman"/>
          <w:b w:val="false"/>
          <w:i w:val="false"/>
          <w:color w:val="000000"/>
          <w:sz w:val="22"/>
        </w:rPr>
        <w:t>Contract or Solicitation Number: 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Correction to CAGE/Part Number – applies to CLIN(s) _____</w:t>
      </w:r>
    </w:p>
    <w:p>
      <w:pPr>
        <w:pStyle w:val="Normal"/>
        <w:pBdr>
          <w:top w:space="5"/>
          <w:left w:space="5"/>
          <w:bottom w:space="5"/>
          <w:right w:space="5"/>
        </w:pBdr>
        <w:spacing w:after="0"/>
        <w:ind w:left="225"/>
        <w:jc w:val="left"/>
      </w:pPr>
      <w:r>
        <w:rPr>
          <w:rFonts w:ascii="Times New Roman" w:hAnsi="Times New Roman"/>
          <w:color w:val="000000"/>
        </w:rPr>
        <w:t>CAGE code in error/same corporation, different division Yes ___ No___</w:t>
      </w:r>
    </w:p>
    <w:p>
      <w:pPr>
        <w:pStyle w:val="Normal"/>
        <w:pBdr>
          <w:top w:space="5"/>
          <w:left w:space="5"/>
          <w:bottom w:space="5"/>
          <w:right w:space="5"/>
        </w:pBdr>
        <w:spacing w:after="0"/>
        <w:ind w:left="225"/>
        <w:jc w:val="left"/>
      </w:pPr>
      <w:r>
        <w:rPr>
          <w:rFonts w:ascii="Times New Roman" w:hAnsi="Times New Roman"/>
          <w:color w:val="000000"/>
        </w:rPr>
        <w:t>CAGE code in error/sold to different corporation Yes ___ No___</w:t>
      </w:r>
    </w:p>
    <w:p>
      <w:pPr>
        <w:pStyle w:val="Normal"/>
        <w:pBdr>
          <w:top w:space="5"/>
          <w:left w:space="5"/>
          <w:bottom w:space="5"/>
          <w:right w:space="5"/>
        </w:pBdr>
        <w:spacing w:after="0"/>
        <w:ind w:left="225"/>
        <w:jc w:val="left"/>
      </w:pPr>
      <w:r>
        <w:rPr>
          <w:rFonts w:ascii="Times New Roman" w:hAnsi="Times New Roman"/>
          <w:color w:val="000000"/>
        </w:rPr>
        <w:t>Part number not recognized Yes ___ No___</w:t>
      </w:r>
    </w:p>
    <w:p>
      <w:pPr>
        <w:pStyle w:val="Normal"/>
        <w:pBdr>
          <w:top w:space="5"/>
          <w:left w:space="5"/>
          <w:bottom w:space="5"/>
          <w:right w:space="5"/>
        </w:pBdr>
        <w:spacing w:after="0"/>
        <w:ind w:left="225"/>
        <w:jc w:val="left"/>
      </w:pPr>
      <w:r>
        <w:rPr>
          <w:rFonts w:ascii="Times New Roman" w:hAnsi="Times New Roman"/>
          <w:color w:val="000000"/>
        </w:rPr>
        <w:t>Obsolete part number Yes ___ No___</w:t>
      </w:r>
    </w:p>
    <w:p>
      <w:pPr>
        <w:pStyle w:val="Normal"/>
        <w:pBdr>
          <w:top w:space="5"/>
          <w:left w:space="5"/>
          <w:bottom w:space="5"/>
          <w:right w:space="5"/>
        </w:pBdr>
        <w:spacing w:after="0"/>
        <w:ind w:left="225"/>
        <w:jc w:val="left"/>
      </w:pPr>
      <w:r>
        <w:rPr>
          <w:rFonts w:ascii="Times New Roman" w:hAnsi="Times New Roman"/>
          <w:color w:val="000000"/>
        </w:rPr>
        <w:t>Other Yes ___ No___</w:t>
      </w:r>
    </w:p>
    <w:p>
      <w:pPr>
        <w:pBdr>
          <w:top w:space="5"/>
          <w:left w:space="5"/>
          <w:bottom w:space="5"/>
          <w:right w:space="5"/>
        </w:pBdr>
        <w:spacing w:after="0"/>
        <w:ind w:left="225"/>
        <w:jc w:val="left"/>
      </w:pPr>
      <w:r>
        <w:rPr>
          <w:rFonts w:ascii="Times New Roman" w:hAnsi="Times New Roman"/>
          <w:b w:val="false"/>
          <w:i w:val="false"/>
          <w:color w:val="000000"/>
          <w:sz w:val="22"/>
        </w:rPr>
        <w:t>(b) Exact product means a product described by the name of an approved source and its corresponding part number cited in the item description; and manufactured by, or under the direction of, that approved source. An offeror of an exact product must meet one of the descriptions below.</w:t>
      </w:r>
    </w:p>
    <w:p>
      <w:pPr>
        <w:pBdr>
          <w:top w:space="5"/>
          <w:left w:space="5"/>
          <w:bottom w:space="5"/>
          <w:right w:space="5"/>
        </w:pBdr>
        <w:spacing w:after="0"/>
        <w:ind w:left="585"/>
        <w:jc w:val="left"/>
      </w:pPr>
      <w:r>
        <w:rPr>
          <w:rFonts w:ascii="Times New Roman" w:hAnsi="Times New Roman"/>
          <w:b w:val="false"/>
          <w:i w:val="false"/>
          <w:color w:val="000000"/>
          <w:sz w:val="22"/>
        </w:rPr>
        <w:t>(1) An approved source offering its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(2) A dealer/distributor offering the product of an approved source and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pPr>
        <w:pBdr>
          <w:top w:space="5"/>
          <w:left w:space="5"/>
          <w:bottom w:space="5"/>
          <w:right w:space="5"/>
        </w:pBdr>
        <w:spacing w:after="0"/>
        <w:ind w:left="585"/>
        <w:jc w:val="left"/>
      </w:pPr>
      <w:r>
        <w:rPr>
          <w:rFonts w:ascii="Times New Roman" w:hAnsi="Times New Roman"/>
          <w:b w:val="false"/>
          <w:i w:val="false"/>
          <w:color w:val="000000"/>
          <w:sz w:val="22"/>
        </w:rPr>
        <w:t>(4) A dealer/distributor offering the product of a manufacturer that meets the description in subparagraph (3) above.</w:t>
      </w:r>
    </w:p>
    <w:p>
      <w:pPr>
        <w:pBdr>
          <w:top w:space="5"/>
          <w:left w:space="5"/>
          <w:bottom w:space="5"/>
          <w:right w:space="5"/>
        </w:pBdr>
        <w:spacing w:after="0"/>
        <w:ind w:left="225"/>
        <w:jc w:val="left"/>
      </w:pPr>
      <w:r>
        <w:rPr>
          <w:rFonts w:ascii="Times New Roman" w:hAnsi="Times New Roman"/>
          <w:b w:val="false"/>
          <w:i w:val="false"/>
          <w:color w:val="000000"/>
          <w:sz w:val="22"/>
        </w:rPr>
        <w:t>(c) Alternate product.</w:t>
      </w:r>
    </w:p>
    <w:p>
      <w:pPr>
        <w:pBdr>
          <w:top w:space="5"/>
          <w:left w:space="5"/>
          <w:bottom w:space="5"/>
          <w:right w:space="5"/>
        </w:pBdr>
        <w:spacing w:after="0"/>
        <w:ind w:left="585"/>
        <w:jc w:val="left"/>
      </w:pPr>
      <w:r>
        <w:rPr>
          <w:rFonts w:ascii="Times New Roman" w:hAnsi="Times New Roman"/>
          <w:b w:val="false"/>
          <w:i w:val="false"/>
          <w:color w:val="000000"/>
          <w:sz w:val="22"/>
        </w:rPr>
        <w:t>(1) The offeror must indicate that an alternate product is being offered if the offeror is any one of the following:</w:t>
      </w:r>
    </w:p>
    <w:p>
      <w:pPr>
        <w:pBdr>
          <w:top w:space="5"/>
          <w:left w:space="5"/>
          <w:bottom w:space="5"/>
          <w:right w:space="5"/>
        </w:pBdr>
        <w:spacing w:after="0"/>
        <w:ind w:left="945"/>
        <w:jc w:val="left"/>
      </w:pPr>
      <w:r>
        <w:rPr>
          <w:rFonts w:ascii="Times New Roman" w:hAnsi="Times New Roman"/>
          <w:b w:val="false"/>
          <w:i w:val="false"/>
          <w:color w:val="000000"/>
          <w:sz w:val="22"/>
        </w:rPr>
        <w:t>(i) An offeror who manufactures the item for an approved source cited in the item description, but does not have authorization from the approved source to identify it as the approved source part number, and sell the item directly to the Government;</w:t>
      </w:r>
    </w:p>
    <w:p>
      <w:pPr>
        <w:pBdr>
          <w:top w:space="5"/>
          <w:left w:space="5"/>
          <w:bottom w:space="5"/>
          <w:right w:space="5"/>
        </w:pBdr>
        <w:spacing w:after="0"/>
        <w:ind w:left="945"/>
        <w:jc w:val="left"/>
      </w:pPr>
      <w:r>
        <w:rPr>
          <w:rFonts w:ascii="Times New Roman" w:hAnsi="Times New Roman"/>
          <w:b w:val="false"/>
          <w:i w:val="false"/>
          <w:color w:val="000000"/>
          <w:sz w:val="22"/>
        </w:rPr>
        <w:t>(ii) A dealer/distributor offering the product of a manufacturer that meets the description in (i) above;</w:t>
      </w:r>
    </w:p>
    <w:p>
      <w:pPr>
        <w:pBdr>
          <w:top w:space="5"/>
          <w:left w:space="5"/>
          <w:bottom w:space="5"/>
          <w:right w:space="5"/>
        </w:pBdr>
        <w:spacing w:after="0"/>
        <w:ind w:left="945"/>
        <w:jc w:val="left"/>
      </w:pPr>
      <w:r>
        <w:rPr>
          <w:rFonts w:ascii="Times New Roman" w:hAnsi="Times New Roman"/>
          <w:b w:val="false"/>
          <w:i w:val="false"/>
          <w:color w:val="000000"/>
          <w:sz w:val="22"/>
        </w:rPr>
        <w:t>(iii) An offeror of a reverse-engineered product that is not cited in the item description; or</w:t>
      </w:r>
    </w:p>
    <w:p>
      <w:pPr>
        <w:pBdr>
          <w:top w:space="5"/>
          <w:left w:space="5"/>
          <w:bottom w:space="5"/>
          <w:right w:space="5"/>
        </w:pBdr>
        <w:spacing w:after="0"/>
        <w:ind w:left="945"/>
        <w:jc w:val="left"/>
      </w:pPr>
      <w:r>
        <w:rPr>
          <w:rFonts w:ascii="Times New Roman" w:hAnsi="Times New Roman"/>
          <w:b w:val="false"/>
          <w:i w:val="false"/>
          <w:color w:val="000000"/>
          <w:sz w:val="22"/>
        </w:rPr>
        <w:t>(iv) An offeror whose product does not meet the criteria of exact product, superseding product or previously approved product.</w:t>
      </w:r>
    </w:p>
    <w:p>
      <w:pPr>
        <w:pBdr>
          <w:top w:space="5"/>
          <w:left w:space="5"/>
          <w:bottom w:space="5"/>
          <w:right w:space="5"/>
        </w:pBdr>
        <w:spacing w:after="0"/>
        <w:ind w:left="585"/>
        <w:jc w:val="left"/>
      </w:pPr>
      <w:r>
        <w:rPr>
          <w:rFonts w:ascii="Times New Roman" w:hAnsi="Times New Roman"/>
          <w:b w:val="false"/>
          <w:i w:val="false"/>
          <w:color w:val="000000"/>
          <w:sz w:val="22"/>
        </w:rPr>
        <w:t>(2) An offer of an alternate product is an alternate offer.</w:t>
      </w:r>
    </w:p>
    <w:p>
      <w:pPr>
        <w:pBdr>
          <w:top w:space="5"/>
          <w:left w:space="5"/>
          <w:bottom w:space="5"/>
          <w:right w:space="5"/>
        </w:pBdr>
        <w:spacing w:after="0"/>
        <w:ind w:left="225"/>
        <w:jc w:val="left"/>
      </w:pPr>
      <w:r>
        <w:rPr>
          <w:rFonts w:ascii="Times New Roman" w:hAnsi="Times New Roman"/>
          <w:b w:val="false"/>
          <w:i w:val="false"/>
          <w:color w:val="000000"/>
          <w:sz w:val="22"/>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pPr>
        <w:pBdr>
          <w:top w:space="5"/>
          <w:left w:space="5"/>
          <w:bottom w:space="5"/>
          <w:right w:space="5"/>
        </w:pBdr>
        <w:spacing w:after="0"/>
        <w:ind w:left="225"/>
        <w:jc w:val="left"/>
      </w:pPr>
      <w:r>
        <w:rPr>
          <w:rFonts w:ascii="Times New Roman" w:hAnsi="Times New Roman"/>
          <w:b w:val="false"/>
          <w:i w:val="false"/>
          <w:color w:val="000000"/>
          <w:sz w:val="22"/>
        </w:rPr>
        <w:t>(e) The offeror must indicate that a previously-approved product is being offered if the product offered has previously been delivered to the Government or otherwise previously evaluated and approved.</w:t>
      </w:r>
    </w:p>
    <w:p>
      <w:pPr>
        <w:pBdr>
          <w:top w:space="5"/>
          <w:left w:space="5"/>
          <w:bottom w:space="5"/>
          <w:right w:space="5"/>
        </w:pBdr>
        <w:spacing w:after="0"/>
        <w:ind w:left="225"/>
        <w:jc w:val="left"/>
      </w:pPr>
      <w:r>
        <w:rPr>
          <w:rFonts w:ascii="Times New Roman" w:hAnsi="Times New Roman"/>
          <w:b w:val="false"/>
          <w:i w:val="false"/>
          <w:color w:val="000000"/>
          <w:sz w:val="22"/>
        </w:rPr>
        <w:t>(f) Correction to CAGE/Part Number Cited in the Item Description</w:t>
      </w:r>
    </w:p>
    <w:p>
      <w:pPr>
        <w:pBdr>
          <w:top w:space="5"/>
          <w:left w:space="5"/>
          <w:bottom w:space="5"/>
          <w:right w:space="5"/>
        </w:pBdr>
        <w:spacing w:after="0"/>
        <w:ind w:left="225"/>
        <w:jc w:val="left"/>
      </w:pPr>
      <w:r>
        <w:rPr>
          <w:rFonts w:ascii="Times New Roman" w:hAnsi="Times New Roman"/>
          <w:b w:val="false"/>
          <w:i w:val="false"/>
          <w:color w:val="000000"/>
          <w:sz w:val="22"/>
        </w:rPr>
        <w:t>Submitted by offeror to notify the Government if there is a CAGE code error: same corporation/different division; sold to different corporation; part number not recognized; obsolete part number; other.</w:t>
      </w:r>
    </w:p>
    <w:p>
      <w:pPr>
        <w:pBdr>
          <w:top w:space="5"/>
          <w:left w:space="5"/>
          <w:bottom w:space="5"/>
          <w:right w:space="5"/>
        </w:pBdr>
        <w:spacing w:after="0"/>
        <w:ind w:left="225"/>
        <w:jc w:val="left"/>
      </w:pPr>
      <w:r>
        <w:rPr>
          <w:rFonts w:ascii="Times New Roman" w:hAnsi="Times New Roman"/>
          <w:b w:val="false"/>
          <w:i w:val="false"/>
          <w:color w:val="000000"/>
          <w:sz w:val="22"/>
        </w:rPr>
        <w:t>(g) Traceability documentation.</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evidence of the technical acceptability of the product offered. The evidence must be submitted within 2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For offers of exact product, offerors other than the approved manufacturing source must retain evidence and provide the traceability evidence of the identity of the item and its manufacturing source when requested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If offered item(s) are not in stock or not yet manufactured a copy of an original quotation from the approved source to the offeror identifying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(iii) If the offeror is an authorized dealer/distributor, or manufactures the item for an approved source, a copy of the contractual agreement with, or the express written authority of, the approved source to buy, stock, repackage, sell, or distribute the part. 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the exact item being acquired.</w:t>
      </w:r>
    </w:p>
    <w:p>
      <w:pPr>
        <w:pBdr>
          <w:top w:space="5"/>
          <w:left w:space="5"/>
          <w:bottom w:space="5"/>
          <w:right w:space="5"/>
        </w:pBdr>
        <w:spacing w:after="0"/>
        <w:ind w:left="945"/>
        <w:jc w:val="left"/>
      </w:pPr>
      <w:r>
        <w:rPr>
          <w:rFonts w:ascii="Times New Roman" w:hAnsi="Times New Roman"/>
          <w:b w:val="false"/>
          <w:i w:val="false"/>
          <w:color w:val="000000"/>
          <w:sz w:val="22"/>
        </w:rPr>
        <w:t>(iv) Other verifiable information.</w:t>
      </w:r>
    </w:p>
    <w:p>
      <w:pPr>
        <w:pBdr>
          <w:top w:space="5"/>
          <w:left w:space="5"/>
          <w:bottom w:space="5"/>
          <w:right w:space="5"/>
        </w:pBdr>
        <w:spacing w:after="0"/>
        <w:ind w:left="585"/>
        <w:jc w:val="left"/>
      </w:pPr>
      <w:r>
        <w:rPr>
          <w:rFonts w:ascii="Times New Roman" w:hAnsi="Times New Roman"/>
          <w:b w:val="false"/>
          <w:i w:val="false"/>
          <w:color w:val="000000"/>
          <w:sz w:val="22"/>
        </w:rPr>
        <w:t>(3) For superseding part number, the offeror may be requested to furnish evidence to establish that there are no changes in the configuration of the part.</w:t>
      </w:r>
    </w:p>
    <w:p>
      <w:pPr>
        <w:pBdr>
          <w:top w:space="5"/>
          <w:left w:space="5"/>
          <w:bottom w:space="5"/>
          <w:right w:space="5"/>
        </w:pBdr>
        <w:spacing w:after="0"/>
        <w:ind w:left="585"/>
        <w:jc w:val="left"/>
      </w:pPr>
      <w:r>
        <w:rPr>
          <w:rFonts w:ascii="Times New Roman" w:hAnsi="Times New Roman"/>
          <w:b w:val="false"/>
          <w:i w:val="false"/>
          <w:color w:val="000000"/>
          <w:sz w:val="22"/>
        </w:rPr>
        <w:t>(4) For previously approved products, upon request of the contracting officer, the offeror must furnish the contract, solicitation, source approval request (SAR) package, or letter of approval under which the product was previously furnished or approved.</w:t>
      </w:r>
    </w:p>
    <w:p>
      <w:pPr>
        <w:pBdr>
          <w:top w:space="5"/>
          <w:left w:space="5"/>
          <w:bottom w:space="5"/>
          <w:right w:space="5"/>
        </w:pBdr>
        <w:spacing w:after="0"/>
        <w:ind w:left="225"/>
        <w:jc w:val="left"/>
      </w:pPr>
      <w:r>
        <w:rPr>
          <w:rFonts w:ascii="Times New Roman" w:hAnsi="Times New Roman"/>
          <w:b w:val="false"/>
          <w:i w:val="false"/>
          <w:color w:val="000000"/>
          <w:sz w:val="22"/>
        </w:rPr>
        <w:t>(h) Alternate offer data.</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drawings, specifications, or other data necessary to clearly describe the characteristics and features of an alternate offer. Data submitted shall cover design, 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pPr>
        <w:pBdr>
          <w:top w:space="5"/>
          <w:left w:space="5"/>
          <w:bottom w:space="5"/>
          <w:right w:space="5"/>
        </w:pBdr>
        <w:spacing w:after="0"/>
        <w:ind w:left="225"/>
        <w:jc w:val="left"/>
      </w:pPr>
      <w:r>
        <w:rPr>
          <w:rFonts w:ascii="Times New Roman" w:hAnsi="Times New Roman"/>
          <w:b w:val="false"/>
          <w:i w:val="false"/>
          <w:color w:val="000000"/>
          <w:sz w:val="22"/>
        </w:rPr>
        <w:t>(j) Evaluation of Alternate Offers.</w:t>
      </w:r>
    </w:p>
    <w:p>
      <w:pPr>
        <w:pBdr>
          <w:top w:space="5"/>
          <w:left w:space="5"/>
          <w:bottom w:space="5"/>
          <w:right w:space="5"/>
        </w:pBdr>
        <w:spacing w:after="0"/>
        <w:ind w:left="225"/>
        <w:jc w:val="left"/>
      </w:pPr>
      <w:r>
        <w:rPr>
          <w:rFonts w:ascii="Times New Roman" w:hAnsi="Times New Roman"/>
          <w:b w:val="false"/>
          <w:i w:val="false"/>
          <w:color w:val="000000"/>
          <w:sz w:val="22"/>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pPr>
        <w:pBdr>
          <w:top w:space="5"/>
          <w:left w:space="5"/>
          <w:bottom w:space="5"/>
          <w:right w:space="5"/>
        </w:pBdr>
        <w:spacing w:after="0"/>
        <w:ind w:left="225"/>
        <w:jc w:val="left"/>
      </w:pPr>
      <w:r>
        <w:rPr>
          <w:rFonts w:ascii="Times New Roman" w:hAnsi="Times New Roman"/>
          <w:b w:val="false"/>
          <w:i w:val="false"/>
          <w:color w:val="000000"/>
          <w:sz w:val="22"/>
        </w:rPr>
        <w:t>(1) For solicitation numbers beginning with SPE7:</w:t>
      </w:r>
    </w:p>
    <w:p>
      <w:pPr>
        <w:pBdr>
          <w:top w:space="5"/>
          <w:left w:space="5"/>
          <w:bottom w:space="5"/>
          <w:right w:space="5"/>
        </w:pBdr>
        <w:spacing w:after="0"/>
        <w:ind w:left="225"/>
        <w:jc w:val="left"/>
      </w:pPr>
      <w:r>
        <w:rPr>
          <w:rFonts w:ascii="Times New Roman" w:hAnsi="Times New Roman"/>
          <w:b w:val="false"/>
          <w:i w:val="false"/>
          <w:color w:val="000000"/>
          <w:sz w:val="22"/>
        </w:rPr>
        <w:t>DLA Land and Maritime</w:t>
      </w:r>
    </w:p>
    <w:p>
      <w:pPr>
        <w:pBdr>
          <w:top w:space="5"/>
          <w:left w:space="5"/>
          <w:bottom w:space="5"/>
          <w:right w:space="5"/>
        </w:pBdr>
        <w:spacing w:after="0"/>
        <w:ind w:left="225"/>
        <w:jc w:val="left"/>
      </w:pPr>
      <w:r>
        <w:rPr>
          <w:rFonts w:ascii="Times New Roman" w:hAnsi="Times New Roman"/>
          <w:b w:val="false"/>
          <w:i w:val="false"/>
          <w:color w:val="000000"/>
          <w:sz w:val="22"/>
        </w:rPr>
        <w:t>Directorate of Procurement</w:t>
      </w:r>
    </w:p>
    <w:p>
      <w:pPr>
        <w:pBdr>
          <w:top w:space="5"/>
          <w:left w:space="5"/>
          <w:bottom w:space="5"/>
          <w:right w:space="5"/>
        </w:pBdr>
        <w:spacing w:after="0"/>
        <w:ind w:left="225"/>
        <w:jc w:val="left"/>
      </w:pPr>
      <w:r>
        <w:rPr>
          <w:rFonts w:ascii="Times New Roman" w:hAnsi="Times New Roman"/>
          <w:b w:val="false"/>
          <w:i w:val="false"/>
          <w:color w:val="000000"/>
          <w:sz w:val="22"/>
        </w:rPr>
        <w:t>Alternate Offer Monitor, BPP</w:t>
      </w:r>
    </w:p>
    <w:p>
      <w:pPr>
        <w:pBdr>
          <w:top w:space="5"/>
          <w:left w:space="5"/>
          <w:bottom w:space="5"/>
          <w:right w:space="5"/>
        </w:pBdr>
        <w:spacing w:after="0"/>
        <w:ind w:left="225"/>
        <w:jc w:val="left"/>
      </w:pPr>
      <w:r>
        <w:rPr>
          <w:rFonts w:ascii="Times New Roman" w:hAnsi="Times New Roman"/>
          <w:b w:val="false"/>
          <w:i w:val="false"/>
          <w:color w:val="000000"/>
          <w:sz w:val="22"/>
        </w:rPr>
        <w:t>Post Office (P.O.) Box 3990</w:t>
      </w:r>
    </w:p>
    <w:p>
      <w:pPr>
        <w:pBdr>
          <w:top w:space="5"/>
          <w:left w:space="5"/>
          <w:bottom w:space="5"/>
          <w:right w:space="5"/>
        </w:pBdr>
        <w:spacing w:after="0"/>
        <w:ind w:left="225"/>
        <w:jc w:val="left"/>
      </w:pPr>
      <w:r>
        <w:rPr>
          <w:rFonts w:ascii="Times New Roman" w:hAnsi="Times New Roman"/>
          <w:b w:val="false"/>
          <w:i w:val="false"/>
          <w:color w:val="000000"/>
          <w:sz w:val="22"/>
        </w:rPr>
        <w:t>Columbus, Ohio 43218-3990</w:t>
      </w:r>
    </w:p>
    <w:p>
      <w:pPr>
        <w:pBdr>
          <w:top w:space="5"/>
          <w:left w:space="5"/>
          <w:bottom w:space="5"/>
          <w:right w:space="5"/>
        </w:pBdr>
        <w:spacing w:after="0"/>
        <w:ind w:left="225"/>
        <w:jc w:val="left"/>
      </w:pPr>
      <w:r>
        <w:rPr>
          <w:rFonts w:ascii="Times New Roman" w:hAnsi="Times New Roman"/>
          <w:b w:val="false"/>
          <w:i w:val="false"/>
          <w:color w:val="000000"/>
          <w:sz w:val="22"/>
        </w:rPr>
        <w:t>(2) For solicitation numbers beginning with SPE4:</w:t>
      </w:r>
    </w:p>
    <w:p>
      <w:pPr>
        <w:pBdr>
          <w:top w:space="5"/>
          <w:left w:space="5"/>
          <w:bottom w:space="5"/>
          <w:right w:space="5"/>
        </w:pBdr>
        <w:spacing w:after="0"/>
        <w:ind w:left="225"/>
        <w:jc w:val="left"/>
      </w:pPr>
      <w:r>
        <w:rPr>
          <w:rFonts w:ascii="Times New Roman" w:hAnsi="Times New Roman"/>
          <w:b w:val="false"/>
          <w:i w:val="false"/>
          <w:color w:val="000000"/>
          <w:sz w:val="22"/>
        </w:rPr>
        <w:t>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Attention: BPC</w:t>
      </w:r>
    </w:p>
    <w:p>
      <w:pPr>
        <w:pBdr>
          <w:top w:space="5"/>
          <w:left w:space="5"/>
          <w:bottom w:space="5"/>
          <w:right w:space="5"/>
        </w:pBdr>
        <w:spacing w:after="0"/>
        <w:ind w:left="225"/>
        <w:jc w:val="left"/>
      </w:pPr>
      <w:r>
        <w:rPr>
          <w:rFonts w:ascii="Times New Roman" w:hAnsi="Times New Roman"/>
          <w:b w:val="false"/>
          <w:i w:val="false"/>
          <w:color w:val="000000"/>
          <w:sz w:val="22"/>
        </w:rPr>
        <w:t>8000 Jefferson Davis Highway</w:t>
      </w:r>
    </w:p>
    <w:p>
      <w:pPr>
        <w:pBdr>
          <w:top w:space="5"/>
          <w:left w:space="5"/>
          <w:bottom w:space="5"/>
          <w:right w:space="5"/>
        </w:pBdr>
        <w:spacing w:after="0"/>
        <w:ind w:left="225"/>
        <w:jc w:val="left"/>
      </w:pPr>
      <w:r>
        <w:rPr>
          <w:rFonts w:ascii="Times New Roman" w:hAnsi="Times New Roman"/>
          <w:b w:val="false"/>
          <w:i w:val="false"/>
          <w:color w:val="000000"/>
          <w:sz w:val="22"/>
        </w:rPr>
        <w:t>Richmond, Virginia 23297-5100</w:t>
      </w:r>
    </w:p>
    <w:p>
      <w:pPr>
        <w:pBdr>
          <w:top w:space="5"/>
          <w:left w:space="5"/>
          <w:bottom w:space="5"/>
          <w:right w:space="5"/>
        </w:pBdr>
        <w:spacing w:after="0"/>
        <w:ind w:left="225"/>
        <w:jc w:val="left"/>
      </w:pPr>
      <w:r>
        <w:rPr>
          <w:rFonts w:ascii="Times New Roman" w:hAnsi="Times New Roman"/>
          <w:b w:val="false"/>
          <w:i w:val="false"/>
          <w:color w:val="000000"/>
          <w:sz w:val="22"/>
        </w:rPr>
        <w:t>(3) For solicitation numbers beginning with SPE1, SPE2, SPE3, SPE5, or SPE8:</w:t>
      </w:r>
    </w:p>
    <w:p>
      <w:pPr>
        <w:pBdr>
          <w:top w:space="5"/>
          <w:left w:space="5"/>
          <w:bottom w:space="5"/>
          <w:right w:space="5"/>
        </w:pBdr>
        <w:spacing w:after="0"/>
        <w:ind w:left="225"/>
        <w:jc w:val="left"/>
      </w:pPr>
      <w:r>
        <w:rPr>
          <w:rFonts w:ascii="Times New Roman" w:hAnsi="Times New Roman"/>
          <w:b w:val="false"/>
          <w:i w:val="false"/>
          <w:color w:val="000000"/>
          <w:sz w:val="22"/>
        </w:rPr>
        <w:t>DLA Troop Support</w:t>
      </w:r>
    </w:p>
    <w:p>
      <w:pPr>
        <w:pBdr>
          <w:top w:space="5"/>
          <w:left w:space="5"/>
          <w:bottom w:space="5"/>
          <w:right w:space="5"/>
        </w:pBdr>
        <w:spacing w:after="0"/>
        <w:ind w:left="225"/>
        <w:jc w:val="left"/>
      </w:pPr>
      <w:r>
        <w:rPr>
          <w:rFonts w:ascii="Times New Roman" w:hAnsi="Times New Roman"/>
          <w:b w:val="false"/>
          <w:i w:val="false"/>
          <w:color w:val="000000"/>
          <w:sz w:val="22"/>
        </w:rPr>
        <w:t>Attention: (see note below)</w:t>
      </w:r>
    </w:p>
    <w:p>
      <w:pPr>
        <w:pBdr>
          <w:top w:space="5"/>
          <w:left w:space="5"/>
          <w:bottom w:space="5"/>
          <w:right w:space="5"/>
        </w:pBdr>
        <w:spacing w:after="0"/>
        <w:ind w:left="225"/>
        <w:jc w:val="left"/>
      </w:pPr>
      <w:r>
        <w:rPr>
          <w:rFonts w:ascii="Times New Roman" w:hAnsi="Times New Roman"/>
          <w:b w:val="false"/>
          <w:i w:val="false"/>
          <w:color w:val="000000"/>
          <w:sz w:val="22"/>
        </w:rPr>
        <w:t>700 Robbins Avenue</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19111-5096</w:t>
      </w:r>
    </w:p>
    <w:p>
      <w:pPr>
        <w:pBdr>
          <w:top w:space="5"/>
          <w:left w:space="5"/>
          <w:bottom w:space="5"/>
          <w:right w:space="5"/>
        </w:pBdr>
        <w:spacing w:after="0"/>
        <w:ind w:left="225"/>
        <w:jc w:val="left"/>
      </w:pPr>
      <w:r>
        <w:rPr>
          <w:rFonts w:ascii="Times New Roman" w:hAnsi="Times New Roman"/>
          <w:b w:val="false"/>
          <w:i w:val="false"/>
          <w:color w:val="000000"/>
          <w:sz w:val="22"/>
        </w:rPr>
        <w:t>Note: The address (attention line) will change based on the 4th digit of the PIIN as follows:</w:t>
      </w:r>
    </w:p>
    <w:p>
      <w:pPr>
        <w:pBdr>
          <w:top w:space="5"/>
          <w:left w:space="5"/>
          <w:bottom w:space="5"/>
          <w:right w:space="5"/>
        </w:pBdr>
        <w:spacing w:after="0"/>
        <w:ind w:left="225"/>
        <w:jc w:val="left"/>
      </w:pPr>
      <w:r>
        <w:rPr>
          <w:rFonts w:ascii="Times New Roman" w:hAnsi="Times New Roman"/>
          <w:b w:val="false"/>
          <w:i w:val="false"/>
          <w:color w:val="000000"/>
          <w:sz w:val="22"/>
        </w:rPr>
        <w:t>SPE1 = Clothing and Textile (C&amp;T)</w:t>
      </w:r>
    </w:p>
    <w:p>
      <w:pPr>
        <w:pBdr>
          <w:top w:space="5"/>
          <w:left w:space="5"/>
          <w:bottom w:space="5"/>
          <w:right w:space="5"/>
        </w:pBdr>
        <w:spacing w:after="0"/>
        <w:ind w:left="225"/>
        <w:jc w:val="left"/>
      </w:pPr>
      <w:r>
        <w:rPr>
          <w:rFonts w:ascii="Times New Roman" w:hAnsi="Times New Roman"/>
          <w:b w:val="false"/>
          <w:i w:val="false"/>
          <w:color w:val="000000"/>
          <w:sz w:val="22"/>
        </w:rPr>
        <w:t>SPE2 = Medical</w:t>
      </w:r>
    </w:p>
    <w:p>
      <w:pPr>
        <w:pBdr>
          <w:top w:space="5"/>
          <w:left w:space="5"/>
          <w:bottom w:space="5"/>
          <w:right w:space="5"/>
        </w:pBdr>
        <w:spacing w:after="0"/>
        <w:ind w:left="225"/>
        <w:jc w:val="left"/>
      </w:pPr>
      <w:r>
        <w:rPr>
          <w:rFonts w:ascii="Times New Roman" w:hAnsi="Times New Roman"/>
          <w:b w:val="false"/>
          <w:i w:val="false"/>
          <w:color w:val="000000"/>
          <w:sz w:val="22"/>
        </w:rPr>
        <w:t>SPE3 = Subsistence</w:t>
      </w:r>
    </w:p>
    <w:p>
      <w:pPr>
        <w:pBdr>
          <w:top w:space="5"/>
          <w:left w:space="5"/>
          <w:bottom w:space="5"/>
          <w:right w:space="5"/>
        </w:pBdr>
        <w:spacing w:after="0"/>
        <w:ind w:left="225"/>
        <w:jc w:val="left"/>
      </w:pPr>
      <w:r>
        <w:rPr>
          <w:rFonts w:ascii="Times New Roman" w:hAnsi="Times New Roman"/>
          <w:b w:val="false"/>
          <w:i w:val="false"/>
          <w:color w:val="000000"/>
          <w:sz w:val="22"/>
        </w:rPr>
        <w:t>SPE5 = Industrial Hardware (formerly Aviation or L&amp;M detachments)</w:t>
      </w:r>
    </w:p>
    <w:p>
      <w:pPr>
        <w:pBdr>
          <w:top w:space="5"/>
          <w:left w:space="5"/>
          <w:bottom w:space="5"/>
          <w:right w:space="5"/>
        </w:pBdr>
        <w:spacing w:after="0"/>
        <w:ind w:left="225"/>
        <w:jc w:val="left"/>
      </w:pPr>
      <w:r>
        <w:rPr>
          <w:rFonts w:ascii="Times New Roman" w:hAnsi="Times New Roman"/>
          <w:b w:val="false"/>
          <w:i w:val="false"/>
          <w:color w:val="000000"/>
          <w:sz w:val="22"/>
        </w:rPr>
        <w:t>SPE8 = Construction and Equipment (C&amp;E)</w:t>
      </w:r>
    </w:p>
    <w:p>
      <w:pPr>
        <w:pBdr>
          <w:top w:space="5"/>
          <w:left w:space="5"/>
          <w:bottom w:space="5"/>
          <w:right w:space="5"/>
        </w:pBdr>
        <w:spacing w:after="0"/>
        <w:ind w:left="225"/>
        <w:jc w:val="left"/>
      </w:pPr>
      <w:r>
        <w:rPr>
          <w:rFonts w:ascii="Times New Roman" w:hAnsi="Times New Roman"/>
          <w:b w:val="false"/>
          <w:i w:val="false"/>
          <w:color w:val="000000"/>
          <w:sz w:val="22"/>
        </w:rPr>
        <w:t>(4) For solicitation numbers beginning with SPRRA1 and SPRRA2:</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 – 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Building 5201</w:t>
      </w:r>
    </w:p>
    <w:p>
      <w:pPr>
        <w:pBdr>
          <w:top w:space="5"/>
          <w:left w:space="5"/>
          <w:bottom w:space="5"/>
          <w:right w:space="5"/>
        </w:pBdr>
        <w:spacing w:after="0"/>
        <w:ind w:left="225"/>
        <w:jc w:val="left"/>
      </w:pPr>
      <w:r>
        <w:rPr>
          <w:rFonts w:ascii="Times New Roman" w:hAnsi="Times New Roman"/>
          <w:b w:val="false"/>
          <w:i w:val="false"/>
          <w:color w:val="000000"/>
          <w:sz w:val="22"/>
        </w:rPr>
        <w:t>Redstone Arsenal, Alabama 35898</w:t>
      </w:r>
    </w:p>
    <w:p>
      <w:pPr>
        <w:pBdr>
          <w:top w:space="5"/>
          <w:left w:space="5"/>
          <w:bottom w:space="5"/>
          <w:right w:space="5"/>
        </w:pBdr>
        <w:spacing w:after="0"/>
        <w:ind w:left="225"/>
        <w:jc w:val="left"/>
      </w:pPr>
      <w:r>
        <w:rPr>
          <w:rFonts w:ascii="Times New Roman" w:hAnsi="Times New Roman"/>
          <w:b w:val="false"/>
          <w:i w:val="false"/>
          <w:color w:val="000000"/>
          <w:sz w:val="22"/>
        </w:rPr>
        <w:t>(5) For solicitation numbers beginning with SPRPA1:</w:t>
      </w:r>
    </w:p>
    <w:p>
      <w:pPr>
        <w:pBdr>
          <w:top w:space="5"/>
          <w:left w:space="5"/>
          <w:bottom w:space="5"/>
          <w:right w:space="5"/>
        </w:pBdr>
        <w:spacing w:after="0"/>
        <w:ind w:left="225"/>
        <w:jc w:val="left"/>
      </w:pPr>
      <w:r>
        <w:rPr>
          <w:rFonts w:ascii="Times New Roman" w:hAnsi="Times New Roman"/>
          <w:b w:val="false"/>
          <w:i w:val="false"/>
          <w:color w:val="000000"/>
          <w:sz w:val="22"/>
        </w:rPr>
        <w:t>DLA Philadelphia</w:t>
      </w:r>
    </w:p>
    <w:p>
      <w:pPr>
        <w:pBdr>
          <w:top w:space="5"/>
          <w:left w:space="5"/>
          <w:bottom w:space="5"/>
          <w:right w:space="5"/>
        </w:pBdr>
        <w:spacing w:after="0"/>
        <w:ind w:left="225"/>
        <w:jc w:val="left"/>
      </w:pPr>
      <w:r>
        <w:rPr>
          <w:rFonts w:ascii="Times New Roman" w:hAnsi="Times New Roman"/>
          <w:b w:val="false"/>
          <w:i w:val="false"/>
          <w:color w:val="000000"/>
          <w:sz w:val="22"/>
        </w:rPr>
        <w:t>Competition Advocate Office</w:t>
      </w:r>
    </w:p>
    <w:p>
      <w:pPr>
        <w:pBdr>
          <w:top w:space="5"/>
          <w:left w:space="5"/>
          <w:bottom w:space="5"/>
          <w:right w:space="5"/>
        </w:pBdr>
        <w:spacing w:after="0"/>
        <w:ind w:left="225"/>
        <w:jc w:val="left"/>
      </w:pPr>
      <w:r>
        <w:rPr>
          <w:rFonts w:ascii="Times New Roman" w:hAnsi="Times New Roman"/>
          <w:b w:val="false"/>
          <w:i w:val="false"/>
          <w:color w:val="000000"/>
          <w:sz w:val="22"/>
        </w:rPr>
        <w:t>700 Robbins Avenue Building 1</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19111-5098</w:t>
      </w:r>
    </w:p>
    <w:p>
      <w:pPr>
        <w:pBdr>
          <w:top w:space="5"/>
          <w:left w:space="5"/>
          <w:bottom w:space="5"/>
          <w:right w:space="5"/>
        </w:pBdr>
        <w:spacing w:after="0"/>
        <w:ind w:left="225"/>
        <w:jc w:val="left"/>
      </w:pPr>
      <w:r>
        <w:rPr>
          <w:rFonts w:ascii="Times New Roman" w:hAnsi="Times New Roman"/>
          <w:b w:val="false"/>
          <w:i w:val="false"/>
          <w:color w:val="000000"/>
          <w:sz w:val="22"/>
        </w:rPr>
        <w:t>(6) For Tank-Automotive and Armaments Command (TACOM) Depot Level Repairable (DLR) - DLA Land and Maritime solicitations beginning with SPRDL1: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ZG</w:t>
      </w:r>
    </w:p>
    <w:p>
      <w:pPr>
        <w:pBdr>
          <w:top w:space="5"/>
          <w:left w:space="5"/>
          <w:bottom w:space="5"/>
          <w:right w:space="5"/>
        </w:pBdr>
        <w:spacing w:after="0"/>
        <w:ind w:left="225"/>
        <w:jc w:val="left"/>
      </w:pPr>
      <w:r>
        <w:rPr>
          <w:rFonts w:ascii="Times New Roman" w:hAnsi="Times New Roman"/>
          <w:b w:val="false"/>
          <w:i w:val="false"/>
          <w:color w:val="000000"/>
          <w:sz w:val="22"/>
        </w:rPr>
        <w:t>6501 East Eleven Mile Road</w:t>
      </w:r>
    </w:p>
    <w:p>
      <w:pPr>
        <w:pBdr>
          <w:top w:space="5"/>
          <w:left w:space="5"/>
          <w:bottom w:space="5"/>
          <w:right w:space="5"/>
        </w:pBdr>
        <w:spacing w:after="0"/>
        <w:ind w:left="225"/>
        <w:jc w:val="left"/>
      </w:pPr>
      <w:r>
        <w:rPr>
          <w:rFonts w:ascii="Times New Roman" w:hAnsi="Times New Roman"/>
          <w:b w:val="false"/>
          <w:i w:val="false"/>
          <w:color w:val="000000"/>
          <w:sz w:val="22"/>
        </w:rPr>
        <w:t>Warren, Michigan 48397-5000</w:t>
      </w:r>
    </w:p>
    <w:p>
      <w:pPr>
        <w:pBdr>
          <w:top w:space="5"/>
          <w:left w:space="5"/>
          <w:bottom w:space="5"/>
          <w:right w:space="5"/>
        </w:pBdr>
        <w:spacing w:after="0"/>
        <w:ind w:left="225"/>
        <w:jc w:val="left"/>
      </w:pPr>
      <w:r>
        <w:rPr>
          <w:rFonts w:ascii="Times New Roman" w:hAnsi="Times New Roman"/>
          <w:b w:val="false"/>
          <w:i w:val="false"/>
          <w:color w:val="000000"/>
          <w:sz w:val="22"/>
        </w:rPr>
        <w:t>(7) For Communications-Electronics Command (CECOM) DLR-DLA Land and Maritime solicitations beginning with SPRBL1: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ZL</w:t>
      </w:r>
    </w:p>
    <w:p>
      <w:pPr>
        <w:pBdr>
          <w:top w:space="5"/>
          <w:left w:space="5"/>
          <w:bottom w:space="5"/>
          <w:right w:space="5"/>
        </w:pBdr>
        <w:spacing w:after="0"/>
        <w:ind w:left="225"/>
        <w:jc w:val="left"/>
      </w:pPr>
      <w:r>
        <w:rPr>
          <w:rFonts w:ascii="Times New Roman" w:hAnsi="Times New Roman"/>
          <w:b w:val="false"/>
          <w:i w:val="false"/>
          <w:color w:val="000000"/>
          <w:sz w:val="22"/>
        </w:rPr>
        <w:t>6001 Combat Dr., Rm. C1-301</w:t>
      </w:r>
    </w:p>
    <w:p>
      <w:pPr>
        <w:pBdr>
          <w:top w:space="5"/>
          <w:left w:space="5"/>
          <w:bottom w:space="5"/>
          <w:right w:space="5"/>
        </w:pBdr>
        <w:spacing w:after="0"/>
        <w:ind w:left="225"/>
        <w:jc w:val="left"/>
      </w:pPr>
      <w:r>
        <w:rPr>
          <w:rFonts w:ascii="Times New Roman" w:hAnsi="Times New Roman"/>
          <w:b w:val="false"/>
          <w:i w:val="false"/>
          <w:color w:val="000000"/>
          <w:sz w:val="22"/>
        </w:rPr>
        <w:t>Aberdeen Proving Ground, MD 21005-1846</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M06 Evaluation of Offers of Alternate Product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Offers of alternate product will not be evaluated for the contract action if:</w:t>
      </w:r>
    </w:p>
    <w:p>
      <w:pPr>
        <w:pBdr>
          <w:top w:space="5"/>
          <w:left w:space="5"/>
          <w:bottom w:space="5"/>
          <w:right w:space="5"/>
        </w:pBdr>
        <w:spacing w:after="0"/>
        <w:ind w:left="225"/>
        <w:jc w:val="left"/>
      </w:pPr>
      <w:r>
        <w:rPr>
          <w:rFonts w:ascii="Times New Roman" w:hAnsi="Times New Roman"/>
          <w:b w:val="false"/>
          <w:i w:val="false"/>
          <w:color w:val="000000"/>
          <w:sz w:val="22"/>
        </w:rPr>
        <w:t>(1) The solicitation is automated;</w:t>
      </w:r>
    </w:p>
    <w:p>
      <w:pPr>
        <w:pBdr>
          <w:top w:space="5"/>
          <w:left w:space="5"/>
          <w:bottom w:space="5"/>
          <w:right w:space="5"/>
        </w:pBdr>
        <w:spacing w:after="0"/>
        <w:ind w:left="225"/>
        <w:jc w:val="left"/>
      </w:pPr>
      <w:r>
        <w:rPr>
          <w:rFonts w:ascii="Times New Roman" w:hAnsi="Times New Roman"/>
          <w:b w:val="false"/>
          <w:i w:val="false"/>
          <w:color w:val="000000"/>
          <w:sz w:val="22"/>
        </w:rPr>
        <w:t>(2) It does not meet the dollar threshold for savings, after an evaluation factor of $600 is applied for coordination with each ESA; or</w:t>
      </w:r>
    </w:p>
    <w:p>
      <w:pPr>
        <w:pBdr>
          <w:top w:space="5"/>
          <w:left w:space="5"/>
          <w:bottom w:space="5"/>
          <w:right w:space="5"/>
        </w:pBdr>
        <w:spacing w:after="0"/>
        <w:ind w:left="225"/>
        <w:jc w:val="left"/>
      </w:pPr>
      <w:r>
        <w:rPr>
          <w:rFonts w:ascii="Times New Roman" w:hAnsi="Times New Roman"/>
          <w:b w:val="false"/>
          <w:i w:val="false"/>
          <w:color w:val="000000"/>
          <w:sz w:val="22"/>
        </w:rPr>
        <w:t>(3) When the time proposed for award does not permit evaluation, and delay of award would adversely affect the Government.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1_392" w:id="11"/>
      <w:r>
        <w:rPr>
          <w:rFonts w:ascii="Times New Roman" w:hAnsi="Times New Roman"/>
          <w:color w:val="000000"/>
          <w:sz w:val="31"/>
        </w:rPr>
        <w:t>11.392</w:t>
      </w:r>
      <w:r>
        <w:rPr>
          <w:rFonts w:ascii="Times New Roman" w:hAnsi="Times New Roman"/>
          <w:color w:val="000000"/>
          <w:sz w:val="31"/>
        </w:rPr>
        <w:t>Traceability documentation.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It is critically important for contracting officers to be able to confirm a documentation trail from the supplier to the approved manufacturer. Contractors are required to make available and retain traceability documentation (see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 Contracting officers shall request unredacted traceability documentation when there are potential indicators of risk such as:</w:t>
      </w:r>
    </w:p>
    <w:p>
      <w:pPr>
        <w:pBdr>
          <w:top w:space="5"/>
          <w:left w:space="5"/>
          <w:bottom w:space="5"/>
          <w:right w:space="5"/>
        </w:pBdr>
        <w:spacing w:after="0"/>
        <w:ind w:left="225"/>
        <w:jc w:val="left"/>
      </w:pPr>
      <w:r>
        <w:rPr>
          <w:rFonts w:ascii="Times New Roman" w:hAnsi="Times New Roman"/>
          <w:b w:val="false"/>
          <w:i w:val="false"/>
          <w:color w:val="000000"/>
          <w:sz w:val="22"/>
        </w:rPr>
        <w:t>Preaward traceability:</w:t>
      </w:r>
    </w:p>
    <w:p>
      <w:pPr>
        <w:pBdr>
          <w:top w:space="5"/>
          <w:left w:space="5"/>
          <w:bottom w:space="5"/>
          <w:right w:space="5"/>
        </w:pBdr>
        <w:spacing w:after="0"/>
        <w:ind w:left="945"/>
        <w:jc w:val="left"/>
      </w:pPr>
      <w:r>
        <w:rPr>
          <w:rFonts w:ascii="Times New Roman" w:hAnsi="Times New Roman"/>
          <w:b w:val="false"/>
          <w:i w:val="false"/>
          <w:color w:val="000000"/>
          <w:sz w:val="22"/>
        </w:rPr>
        <w:t>(i) The supplier has no past DLA history;</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is out of line with other quotes or past pricing history;</w:t>
      </w:r>
    </w:p>
    <w:p>
      <w:pPr>
        <w:pBdr>
          <w:top w:space="5"/>
          <w:left w:space="5"/>
          <w:bottom w:space="5"/>
          <w:right w:space="5"/>
        </w:pBdr>
        <w:spacing w:after="0"/>
        <w:ind w:left="945"/>
        <w:jc w:val="left"/>
      </w:pPr>
      <w:r>
        <w:rPr>
          <w:rFonts w:ascii="Times New Roman" w:hAnsi="Times New Roman"/>
          <w:b w:val="false"/>
          <w:i w:val="false"/>
          <w:color w:val="000000"/>
          <w:sz w:val="22"/>
        </w:rPr>
        <w:t>(iv) The price offered for new product is lower than price offered for surplus material;</w:t>
      </w:r>
    </w:p>
    <w:p>
      <w:pPr>
        <w:pBdr>
          <w:top w:space="5"/>
          <w:left w:space="5"/>
          <w:bottom w:space="5"/>
          <w:right w:space="5"/>
        </w:pBdr>
        <w:spacing w:after="0"/>
        <w:ind w:left="945"/>
        <w:jc w:val="left"/>
      </w:pPr>
      <w:r>
        <w:rPr>
          <w:rFonts w:ascii="Times New Roman" w:hAnsi="Times New Roman"/>
          <w:b w:val="false"/>
          <w:i w:val="false"/>
          <w:color w:val="000000"/>
          <w:sz w:val="22"/>
        </w:rPr>
        <w:t>(v) The manufacturer’s Contractor and Government Entity (CAGE) code identified in offer differs from CAGE code of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(vi) The offeror/contractor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(vii) The offeror’s/contractor’s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(viii) The contractor invoices without delivering the supplies;</w:t>
      </w:r>
    </w:p>
    <w:p>
      <w:pPr>
        <w:pBdr>
          <w:top w:space="5"/>
          <w:left w:space="5"/>
          <w:bottom w:space="5"/>
          <w:right w:space="5"/>
        </w:pBdr>
        <w:spacing w:after="0"/>
        <w:ind w:left="945"/>
        <w:jc w:val="left"/>
      </w:pPr>
      <w:r>
        <w:rPr>
          <w:rFonts w:ascii="Times New Roman" w:hAnsi="Times New Roman"/>
          <w:b w:val="false"/>
          <w:i w:val="false"/>
          <w:color w:val="000000"/>
          <w:sz w:val="22"/>
        </w:rPr>
        <w:t>(ix)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Examples of acceptable preaward traceability documentation are found at the </w:t>
      </w:r>
      <w:hyperlink r:id="R600830e753754d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Counterfeit Detection and Avoidance Program (CDAP)</w:t>
        </w:r>
      </w:hyperlink>
      <w:r>
        <w:rPr>
          <w:rFonts w:ascii="Times New Roman" w:hAnsi="Times New Roman"/>
          <w:b w:val="false"/>
          <w:i w:val="false"/>
          <w:color w:val="000000"/>
          <w:sz w:val="22"/>
        </w:rPr>
        <w:t xml:space="preserve"> website (</w:t>
      </w:r>
      <w:hyperlink r:id="R4e213fc0305c40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http://www.dla.mil/LandandMaritime/Business/Selling/Counterfeit-Detection-Avoidance-Program/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Postaward traceability.</w:t>
      </w:r>
    </w:p>
    <w:p>
      <w:pPr>
        <w:pBdr>
          <w:top w:space="5"/>
          <w:left w:space="5"/>
          <w:bottom w:space="5"/>
          <w:right w:space="5"/>
        </w:pBdr>
        <w:spacing w:after="0"/>
        <w:ind w:left="945"/>
        <w:jc w:val="left"/>
      </w:pPr>
      <w:r>
        <w:rPr>
          <w:rFonts w:ascii="Times New Roman" w:hAnsi="Times New Roman"/>
          <w:b w:val="false"/>
          <w:i w:val="false"/>
          <w:color w:val="000000"/>
          <w:sz w:val="22"/>
        </w:rPr>
        <w:t>(i) If preaward traceability was required or when other circumstances are warranted;</w:t>
      </w:r>
    </w:p>
    <w:p>
      <w:pPr>
        <w:pBdr>
          <w:top w:space="5"/>
          <w:left w:space="5"/>
          <w:bottom w:space="5"/>
          <w:right w:space="5"/>
        </w:pBdr>
        <w:spacing w:after="0"/>
        <w:ind w:left="945"/>
        <w:jc w:val="left"/>
      </w:pPr>
      <w:r>
        <w:rPr>
          <w:rFonts w:ascii="Times New Roman" w:hAnsi="Times New Roman"/>
          <w:b w:val="false"/>
          <w:i w:val="false"/>
          <w:color w:val="000000"/>
          <w:sz w:val="22"/>
        </w:rPr>
        <w:t>(ii) Independent distributors and brokers that do not keep inventory and procure the offered product after contract award. The postaward documentation demonstrates the complete line of ownership before the product is shipped.</w:t>
      </w:r>
    </w:p>
    <w:p>
      <w:pPr>
        <w:pBdr>
          <w:top w:space="5"/>
          <w:left w:space="5"/>
          <w:bottom w:space="5"/>
          <w:right w:space="5"/>
        </w:pBdr>
        <w:spacing w:after="0"/>
        <w:ind w:left="945"/>
        <w:jc w:val="left"/>
      </w:pPr>
      <w:r>
        <w:rPr>
          <w:rFonts w:ascii="Times New Roman" w:hAnsi="Times New Roman"/>
          <w:b w:val="false"/>
          <w:i w:val="false"/>
          <w:color w:val="000000"/>
          <w:sz w:val="22"/>
        </w:rPr>
        <w:t>(iii) Protest is received questioning awardee’s ability or intention to supply exact product. The contracting officer shall immediately request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(iv) The contractor requests a modification changing the part number or other information related to its exact product representation.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If the awardee does not have full traceability information, the contracting officer shall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determines the acceptability of traceability documentation and may request additional documentation necessary to support acceptability. When reviewing traceability documentation, special attention should be given to:</w:t>
      </w:r>
    </w:p>
    <w:p>
      <w:pPr>
        <w:pBdr>
          <w:top w:space="5"/>
          <w:left w:space="5"/>
          <w:bottom w:space="5"/>
          <w:right w:space="5"/>
        </w:pBdr>
        <w:spacing w:after="0"/>
        <w:ind w:left="945"/>
        <w:jc w:val="left"/>
      </w:pPr>
      <w:r>
        <w:rPr>
          <w:rFonts w:ascii="Times New Roman" w:hAnsi="Times New Roman"/>
          <w:b w:val="false"/>
          <w:i w:val="false"/>
          <w:color w:val="000000"/>
          <w:sz w:val="22"/>
        </w:rPr>
        <w:t>(i) The letterhead is correct and/or unaltered;</w:t>
      </w:r>
    </w:p>
    <w:p>
      <w:pPr>
        <w:pBdr>
          <w:top w:space="5"/>
          <w:left w:space="5"/>
          <w:bottom w:space="5"/>
          <w:right w:space="5"/>
        </w:pBdr>
        <w:spacing w:after="0"/>
        <w:ind w:left="945"/>
        <w:jc w:val="left"/>
      </w:pPr>
      <w:r>
        <w:rPr>
          <w:rFonts w:ascii="Times New Roman" w:hAnsi="Times New Roman"/>
          <w:b w:val="false"/>
          <w:i w:val="false"/>
          <w:color w:val="000000"/>
          <w:sz w:val="22"/>
        </w:rPr>
        <w:t>(ii) Signatures are legible and provided by authorized personnel;</w:t>
      </w:r>
    </w:p>
    <w:p>
      <w:pPr>
        <w:pBdr>
          <w:top w:space="5"/>
          <w:left w:space="5"/>
          <w:bottom w:space="5"/>
          <w:right w:space="5"/>
        </w:pBdr>
        <w:spacing w:after="0"/>
        <w:ind w:left="945"/>
        <w:jc w:val="left"/>
      </w:pPr>
      <w:r>
        <w:rPr>
          <w:rFonts w:ascii="Times New Roman" w:hAnsi="Times New Roman"/>
          <w:b w:val="false"/>
          <w:i w:val="false"/>
          <w:color w:val="000000"/>
          <w:sz w:val="22"/>
        </w:rPr>
        <w:t>(iii) There is no evidence of alteration, such as cutting and pasting/white out/scanning;</w:t>
      </w:r>
    </w:p>
    <w:p>
      <w:pPr>
        <w:pBdr>
          <w:top w:space="5"/>
          <w:left w:space="5"/>
          <w:bottom w:space="5"/>
          <w:right w:space="5"/>
        </w:pBdr>
        <w:spacing w:after="0"/>
        <w:ind w:left="945"/>
        <w:jc w:val="left"/>
      </w:pPr>
      <w:r>
        <w:rPr>
          <w:rFonts w:ascii="Times New Roman" w:hAnsi="Times New Roman"/>
          <w:b w:val="false"/>
          <w:i w:val="false"/>
          <w:color w:val="000000"/>
          <w:sz w:val="22"/>
        </w:rPr>
        <w:t>(iv) There are no missing documents;</w:t>
      </w:r>
    </w:p>
    <w:p>
      <w:pPr>
        <w:pBdr>
          <w:top w:space="5"/>
          <w:left w:space="5"/>
          <w:bottom w:space="5"/>
          <w:right w:space="5"/>
        </w:pBdr>
        <w:spacing w:after="0"/>
        <w:ind w:left="945"/>
        <w:jc w:val="left"/>
      </w:pPr>
      <w:r>
        <w:rPr>
          <w:rFonts w:ascii="Times New Roman" w:hAnsi="Times New Roman"/>
          <w:b w:val="false"/>
          <w:i w:val="false"/>
          <w:color w:val="000000"/>
          <w:sz w:val="22"/>
        </w:rPr>
        <w:t>(v) Dates are current;</w:t>
      </w:r>
    </w:p>
    <w:p>
      <w:pPr>
        <w:pBdr>
          <w:top w:space="5"/>
          <w:left w:space="5"/>
          <w:bottom w:space="5"/>
          <w:right w:space="5"/>
        </w:pBdr>
        <w:spacing w:after="0"/>
        <w:ind w:left="945"/>
        <w:jc w:val="left"/>
      </w:pPr>
      <w:r>
        <w:rPr>
          <w:rFonts w:ascii="Times New Roman" w:hAnsi="Times New Roman"/>
          <w:b w:val="false"/>
          <w:i w:val="false"/>
          <w:color w:val="000000"/>
          <w:sz w:val="22"/>
        </w:rPr>
        <w:t>(vi) Phone numbers are accurate;</w:t>
      </w:r>
    </w:p>
    <w:p>
      <w:pPr>
        <w:pBdr>
          <w:top w:space="5"/>
          <w:left w:space="5"/>
          <w:bottom w:space="5"/>
          <w:right w:space="5"/>
        </w:pBdr>
        <w:spacing w:after="0"/>
        <w:ind w:left="945"/>
        <w:jc w:val="left"/>
      </w:pPr>
      <w:r>
        <w:rPr>
          <w:rFonts w:ascii="Times New Roman" w:hAnsi="Times New Roman"/>
          <w:b w:val="false"/>
          <w:i w:val="false"/>
          <w:color w:val="000000"/>
          <w:sz w:val="22"/>
        </w:rPr>
        <w:t>(vii) Font styles are consistent;</w:t>
      </w:r>
    </w:p>
    <w:p>
      <w:pPr>
        <w:pBdr>
          <w:top w:space="5"/>
          <w:left w:space="5"/>
          <w:bottom w:space="5"/>
          <w:right w:space="5"/>
        </w:pBdr>
        <w:spacing w:after="0"/>
        <w:ind w:left="945"/>
        <w:jc w:val="left"/>
      </w:pPr>
      <w:r>
        <w:rPr>
          <w:rFonts w:ascii="Times New Roman" w:hAnsi="Times New Roman"/>
          <w:b w:val="false"/>
          <w:i w:val="false"/>
          <w:color w:val="000000"/>
          <w:sz w:val="22"/>
        </w:rPr>
        <w:t>(viii) There are no handwritten annotations on a typed document;</w:t>
      </w:r>
    </w:p>
    <w:p>
      <w:pPr>
        <w:pBdr>
          <w:top w:space="5"/>
          <w:left w:space="5"/>
          <w:bottom w:space="5"/>
          <w:right w:space="5"/>
        </w:pBdr>
        <w:spacing w:after="0"/>
        <w:ind w:left="945"/>
        <w:jc w:val="left"/>
      </w:pPr>
      <w:r>
        <w:rPr>
          <w:rFonts w:ascii="Times New Roman" w:hAnsi="Times New Roman"/>
          <w:b w:val="false"/>
          <w:i w:val="false"/>
          <w:color w:val="000000"/>
          <w:sz w:val="22"/>
        </w:rPr>
        <w:t>(ix) Line items reflect correct part numbers and quantities;</w:t>
      </w:r>
    </w:p>
    <w:p>
      <w:pPr>
        <w:pBdr>
          <w:top w:space="5"/>
          <w:left w:space="5"/>
          <w:bottom w:space="5"/>
          <w:right w:space="5"/>
        </w:pBdr>
        <w:spacing w:after="0"/>
        <w:ind w:left="945"/>
        <w:jc w:val="left"/>
      </w:pPr>
      <w:r>
        <w:rPr>
          <w:rFonts w:ascii="Times New Roman" w:hAnsi="Times New Roman"/>
          <w:b w:val="false"/>
          <w:i w:val="false"/>
          <w:color w:val="000000"/>
          <w:sz w:val="22"/>
        </w:rPr>
        <w:t>(x) Documents do not appear to have been reproduced repeatedly;</w:t>
      </w:r>
    </w:p>
    <w:p>
      <w:pPr>
        <w:pBdr>
          <w:top w:space="5"/>
          <w:left w:space="5"/>
          <w:bottom w:space="5"/>
          <w:right w:space="5"/>
        </w:pBdr>
        <w:spacing w:after="0"/>
        <w:ind w:left="945"/>
        <w:jc w:val="left"/>
      </w:pPr>
      <w:r>
        <w:rPr>
          <w:rFonts w:ascii="Times New Roman" w:hAnsi="Times New Roman"/>
          <w:b w:val="false"/>
          <w:i w:val="false"/>
          <w:color w:val="000000"/>
          <w:sz w:val="22"/>
        </w:rPr>
        <w:t>(xi) Documents do not have shaded areas, which may indicate information was covered up and the document recopied;</w:t>
      </w:r>
    </w:p>
    <w:p>
      <w:pPr>
        <w:pBdr>
          <w:top w:space="5"/>
          <w:left w:space="5"/>
          <w:bottom w:space="5"/>
          <w:right w:space="5"/>
        </w:pBdr>
        <w:spacing w:after="0"/>
        <w:ind w:left="945"/>
        <w:jc w:val="left"/>
      </w:pPr>
      <w:r>
        <w:rPr>
          <w:rFonts w:ascii="Times New Roman" w:hAnsi="Times New Roman"/>
          <w:b w:val="false"/>
          <w:i w:val="false"/>
          <w:color w:val="000000"/>
          <w:sz w:val="22"/>
        </w:rPr>
        <w:t>(xii) Correct division of manufacturing source is cited; or</w:t>
      </w:r>
    </w:p>
    <w:p>
      <w:pPr>
        <w:pBdr>
          <w:top w:space="5"/>
          <w:left w:space="5"/>
          <w:bottom w:space="5"/>
          <w:right w:space="5"/>
        </w:pBdr>
        <w:spacing w:after="0"/>
        <w:ind w:left="945"/>
        <w:jc w:val="left"/>
      </w:pPr>
      <w:r>
        <w:rPr>
          <w:rFonts w:ascii="Times New Roman" w:hAnsi="Times New Roman"/>
          <w:b w:val="false"/>
          <w:i w:val="false"/>
          <w:color w:val="000000"/>
          <w:sz w:val="22"/>
        </w:rPr>
        <w:t>(xiii) There are no disclaimers in the document (e.g., stating parts cannot be traced to the actual manufacturer or to any specific revision of the part, etc.).</w:t>
      </w:r>
    </w:p>
    <w:p>
      <w:pPr>
        <w:pBdr>
          <w:top w:space="5"/>
          <w:left w:space="5"/>
          <w:bottom w:space="5"/>
          <w:right w:space="5"/>
        </w:pBdr>
        <w:spacing w:after="0"/>
        <w:ind w:left="225"/>
        <w:jc w:val="left"/>
      </w:pPr>
      <w:r>
        <w:rPr>
          <w:rFonts w:ascii="Times New Roman" w:hAnsi="Times New Roman"/>
          <w:b w:val="false"/>
          <w:i w:val="false"/>
          <w:color w:val="000000"/>
          <w:sz w:val="22"/>
        </w:rPr>
        <w:t>If the offeror fails to provide sufficient information preaward within the time frame requested, the contracting officer shall consider the offer technically unacceptable and proceed to the next acceptable offer.</w:t>
      </w:r>
    </w:p>
    <w:p>
      <w:pPr>
        <w:pBdr>
          <w:top w:space="5"/>
          <w:left w:space="5"/>
          <w:bottom w:space="5"/>
          <w:right w:space="5"/>
        </w:pBdr>
        <w:spacing w:after="0"/>
        <w:ind w:left="225"/>
        <w:jc w:val="left"/>
      </w:pPr>
      <w:r>
        <w:rPr>
          <w:rFonts w:ascii="Times New Roman" w:hAnsi="Times New Roman"/>
          <w:b w:val="false"/>
          <w:i w:val="false"/>
          <w:color w:val="000000"/>
          <w:sz w:val="22"/>
        </w:rPr>
        <w:t>If the contractor fails to provide sufficient information postaward within the time frame requested, the award may be cancelled. If it is not in the Government’s best interest to cancel the award, the contracting officer may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reject redacted traceability documentation and notify the offeror or contractor. In all cases, any traceability documentation provided by offerors or contractors shall be treated as proprietary information and stamped accordingly.</w:t>
      </w:r>
    </w:p>
    <!-- Created by docx4j 6.1.2 (Apache licensed) using REFERENCE JAXB in Oracle Java 15 on Linux -->
    <w:p>
      <w:pPr>
        <w:pStyle w:val="Heading2"/>
        <w:spacing w:after="180"/>
        <w:ind w:left="120"/>
        <w:jc w:val="center"/>
      </w:pPr>
      <w:bookmarkStart w:name="DLAD_SUBPART_11_4" w:id="12"/>
      <w:r>
        <w:rPr>
          <w:rFonts w:ascii="Times New Roman" w:hAnsi="Times New Roman"/>
          <w:color w:val="000000"/>
          <w:sz w:val="36"/>
        </w:rPr>
        <w:t>Subpart 11.4</w:t>
      </w:r>
      <w:r>
        <w:rPr>
          <w:rFonts w:ascii="Times New Roman" w:hAnsi="Times New Roman"/>
          <w:color w:val="000000"/>
          <w:sz w:val="36"/>
        </w:rPr>
        <w:t xml:space="preserve"> - DELIVERY OR PERFORMANCE SCHEDULES</w:t>
      </w:r>
      <w:bookmarkEnd w:id="12"/>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401" w:id="13"/>
      <w:r>
        <w:rPr>
          <w:rFonts w:ascii="Times New Roman" w:hAnsi="Times New Roman"/>
          <w:color w:val="000000"/>
          <w:sz w:val="31"/>
        </w:rPr>
        <w:t>11.401</w:t>
      </w:r>
      <w:r>
        <w:rPr>
          <w:rFonts w:ascii="Times New Roman" w:hAnsi="Times New Roman"/>
          <w:color w:val="000000"/>
          <w:sz w:val="31"/>
        </w:rPr>
        <w:t xml:space="preserve"> General.</w:t>
      </w:r>
      <w:bookmarkEnd w:id="13"/>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w:p>
      <w:pPr>
        <w:pBdr>
          <w:top w:space="5"/>
          <w:left w:space="5"/>
          <w:bottom w:space="5"/>
          <w:right w:space="5"/>
        </w:pBdr>
        <w:spacing w:after="0"/>
        <w:ind w:left="225"/>
        <w:jc w:val="left"/>
      </w:pPr>
      <w:r>
        <w:rPr>
          <w:rFonts w:ascii="Times New Roman" w:hAnsi="Times New Roman"/>
          <w:b w:val="false"/>
          <w:i w:val="false"/>
          <w:color w:val="000000"/>
          <w:sz w:val="22"/>
        </w:rPr>
        <w:t>(b) Small purchase auto evaluation exclusions and rejections shall consider delivery in evaluation of quotes.</w:t>
      </w:r>
    </w:p>
    <!-- Created by docx4j 6.1.2 (Apache licensed) using REFERENCE JAXB in Oracle Java 15 on Linux -->
    <w:p>
      <w:pPr>
        <w:pStyle w:val="Heading3"/>
        <w:spacing w:after="199"/>
        <w:ind w:left="120"/>
        <w:jc w:val="left"/>
      </w:pPr>
      <w:bookmarkStart w:name="DLAD_11_402-90" w:id="14"/>
      <w:r>
        <w:rPr>
          <w:rFonts w:ascii="Times New Roman" w:hAnsi="Times New Roman"/>
          <w:color w:val="000000"/>
          <w:sz w:val="31"/>
        </w:rPr>
        <w:t>11.402-90</w:t>
      </w:r>
      <w:r>
        <w:rPr>
          <w:rFonts w:ascii="Times New Roman" w:hAnsi="Times New Roman"/>
          <w:color w:val="000000"/>
          <w:sz w:val="31"/>
        </w:rPr>
        <w:t xml:space="preserve"> Time definite delivery (TDD) standards.</w:t>
      </w:r>
      <w:bookmarkEnd w:id="14"/>
    </w:p>
    <w:p>
      <w:pPr>
        <w:pBdr>
          <w:top w:space="5"/>
          <w:left w:space="5"/>
          <w:bottom w:space="5"/>
          <w:right w:space="5"/>
        </w:pBdr>
        <w:spacing w:after="0"/>
        <w:ind w:left="225"/>
        <w:jc w:val="left"/>
      </w:pPr>
      <w:r>
        <w:rPr>
          <w:rFonts w:ascii="Times New Roman" w:hAnsi="Times New Roman"/>
          <w:b w:val="false"/>
          <w:i w:val="false"/>
          <w:color w:val="000000"/>
          <w:sz w:val="22"/>
        </w:rPr>
        <w:t>Customer direct requirements on planned direct vendor delivery (DVD) contracts shall meet the TDD standards. Contract delivery time frames shall align to one of the following supplier responsibility points.</w:t>
      </w:r>
    </w:p>
    <w:p>
      <w:pPr>
        <w:pBdr>
          <w:top w:space="5"/>
          <w:left w:space="5"/>
          <w:bottom w:space="5"/>
          <w:right w:space="5"/>
        </w:pBdr>
        <w:spacing w:after="0"/>
        <w:ind w:left="225"/>
        <w:jc w:val="center"/>
      </w:pPr>
      <w:r>
        <w:rPr>
          <w:rFonts w:ascii="Times New Roman" w:hAnsi="Times New Roman"/>
          <w:b/>
          <w:i w:val="false"/>
          <w:color w:val="000000"/>
          <w:sz w:val="22"/>
        </w:rPr>
        <w:t>TIME DEFINITE DELIVERY (TDD) STANDARDS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Supplier Responsibility Point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day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days</w:t>
            </w:r>
          </w:p>
        </w:tc>
      </w:tr>
    </w:tbl>
    <w:p>
      <w:pPr>
        <w:pBdr>
          <w:top w:space="5"/>
          <w:left w:space="5"/>
          <w:bottom w:space="5"/>
          <w:right w:space="5"/>
        </w:pBdr>
        <w:spacing w:after="0"/>
        <w:ind w:left="225"/>
        <w:jc w:val="left"/>
      </w:pPr>
      <w:r>
        <w:rPr>
          <w:rFonts w:ascii="Times New Roman" w:hAnsi="Times New Roman"/>
          <w:b w:val="false"/>
          <w:i w:val="false"/>
          <w:color w:val="000000"/>
          <w:sz w:val="22"/>
        </w:rPr>
        <w:t>Compliance with TDD standards shall be reviewed prior to option invocation and a waiver obtained prior to contract option invocation if supplier cannot meet the standards or cost to meet the standard is excessive.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DLAD_11_402-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11.402-91</w:t>
        </w:r>
        <w:r>
          <w:rPr>
            <w:rFonts w:ascii="Times New Roman" w:hAnsi="Times New Roman"/>
            <w:b w:val="false"/>
            <w:i w:val="false"/>
            <w:color w:val="0000ff"/>
            <w:sz w:val="22"/>
            <w:u w:val="single"/>
          </w:rPr>
          <w:t>11.402-91 TDD standards exclusions.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 Created by docx4j 6.1.2 (Apache licensed) using REFERENCE JAXB in Oracle Java 15 on Linux -->
    <w:p>
      <w:pPr>
        <w:pStyle w:val="Heading3"/>
        <w:spacing w:after="199"/>
        <w:ind w:left="120"/>
        <w:jc w:val="left"/>
      </w:pPr>
      <w:bookmarkStart w:name="DLAD_11_402-91" w:id="15"/>
      <w:r>
        <w:rPr>
          <w:rFonts w:ascii="Times New Roman" w:hAnsi="Times New Roman"/>
          <w:color w:val="000000"/>
          <w:sz w:val="31"/>
        </w:rPr>
        <w:t>11.402-91</w:t>
      </w:r>
      <w:r>
        <w:rPr>
          <w:rFonts w:ascii="Times New Roman" w:hAnsi="Times New Roman"/>
          <w:color w:val="000000"/>
          <w:sz w:val="31"/>
        </w:rPr>
        <w:t xml:space="preserve"> TDD standards exclusions.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Non-stocked (acquisition advice code (AAC) “J”).</w:t>
      </w:r>
    </w:p>
    <w:p>
      <w:pPr>
        <w:pBdr>
          <w:top w:space="5"/>
          <w:left w:space="5"/>
          <w:bottom w:space="5"/>
          <w:right w:space="5"/>
        </w:pBdr>
        <w:spacing w:after="0"/>
        <w:ind w:left="225"/>
        <w:jc w:val="left"/>
      </w:pPr>
      <w:r>
        <w:rPr>
          <w:rFonts w:ascii="Times New Roman" w:hAnsi="Times New Roman"/>
          <w:b w:val="false"/>
          <w:i w:val="false"/>
          <w:color w:val="000000"/>
          <w:sz w:val="22"/>
        </w:rPr>
        <w:t>(b) Part numbered items or supplies with no NSN.</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items. A maximum of three additional days may be added to the standards to support using commercially available delivery terms.</w:t>
      </w:r>
    </w:p>
    <w:p>
      <w:pPr>
        <w:pBdr>
          <w:top w:space="5"/>
          <w:left w:space="5"/>
          <w:bottom w:space="5"/>
          <w:right w:space="5"/>
        </w:pBdr>
        <w:spacing w:after="0"/>
        <w:ind w:left="225"/>
        <w:jc w:val="left"/>
      </w:pPr>
      <w:r>
        <w:rPr>
          <w:rFonts w:ascii="Times New Roman" w:hAnsi="Times New Roman"/>
          <w:b w:val="false"/>
          <w:i w:val="false"/>
          <w:color w:val="000000"/>
          <w:sz w:val="22"/>
        </w:rPr>
        <w:t>(d) Customer demand that exceeds the estimated annual quantity of the contract by 125%.</w:t>
      </w:r>
    </w:p>
    <w:p>
      <w:pPr>
        <w:pBdr>
          <w:top w:space="5"/>
          <w:left w:space="5"/>
          <w:bottom w:space="5"/>
          <w:right w:space="5"/>
        </w:pBdr>
        <w:spacing w:after="0"/>
        <w:ind w:left="225"/>
        <w:jc w:val="left"/>
      </w:pPr>
      <w:r>
        <w:rPr>
          <w:rFonts w:ascii="Times New Roman" w:hAnsi="Times New Roman"/>
          <w:b w:val="false"/>
          <w:i w:val="false"/>
          <w:color w:val="000000"/>
          <w:sz w:val="22"/>
        </w:rPr>
        <w:t>(e) Kitting items when the supplier must create a customized kit.</w:t>
      </w:r>
    </w:p>
    <!-- Created by docx4j 6.1.2 (Apache licensed) using REFERENCE JAXB in Oracle Java 15 on Linux -->
    <w:p>
      <w:pPr>
        <w:pStyle w:val="Heading2"/>
        <w:spacing w:after="180"/>
        <w:ind w:left="120"/>
        <w:jc w:val="center"/>
      </w:pPr>
      <w:bookmarkStart w:name="DLAD_SUBPART_11_5" w:id="16"/>
      <w:r>
        <w:rPr>
          <w:rFonts w:ascii="Times New Roman" w:hAnsi="Times New Roman"/>
          <w:color w:val="000000"/>
          <w:sz w:val="36"/>
        </w:rPr>
        <w:t>Subpart 11.5</w:t>
      </w:r>
      <w:r>
        <w:rPr>
          <w:rFonts w:ascii="Times New Roman" w:hAnsi="Times New Roman"/>
          <w:color w:val="000000"/>
          <w:sz w:val="36"/>
        </w:rPr>
        <w:t xml:space="preserve"> - LIQUIDATED DAMAGES</w:t>
      </w:r>
      <w:bookmarkEnd w:id="16"/>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501" w:id="17"/>
      <w:r>
        <w:rPr>
          <w:rFonts w:ascii="Times New Roman" w:hAnsi="Times New Roman"/>
          <w:color w:val="000000"/>
          <w:sz w:val="31"/>
        </w:rPr>
        <w:t>11.501</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(d) Request shall be submitted to DLA Acquisition Operations Division.</w:t>
      </w:r>
    </w:p>
    <!-- Created by docx4j 6.1.2 (Apache licensed) using REFERENCE JAXB in Oracle Java 15 on Linux -->
    <w:p>
      <w:pPr>
        <w:pStyle w:val="Heading2"/>
        <w:spacing w:after="180"/>
        <w:ind w:left="120"/>
        <w:jc w:val="center"/>
      </w:pPr>
      <w:bookmarkStart w:name="DLAD_SUBPART_11_6" w:id="18"/>
      <w:r>
        <w:rPr>
          <w:rFonts w:ascii="Times New Roman" w:hAnsi="Times New Roman"/>
          <w:color w:val="000000"/>
          <w:sz w:val="36"/>
        </w:rPr>
        <w:t>Subpart 11.6</w:t>
      </w:r>
      <w:r>
        <w:rPr>
          <w:rFonts w:ascii="Times New Roman" w:hAnsi="Times New Roman"/>
          <w:color w:val="000000"/>
          <w:sz w:val="36"/>
        </w:rPr>
        <w:t xml:space="preserve"> - PRIORITIES AND ALLOCATIONS</w:t>
      </w:r>
      <w:bookmarkEnd w:id="18"/>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603" w:id="19"/>
      <w:r>
        <w:rPr>
          <w:rFonts w:ascii="Times New Roman" w:hAnsi="Times New Roman"/>
          <w:color w:val="000000"/>
          <w:sz w:val="31"/>
        </w:rPr>
        <w:t>11.603</w:t>
      </w:r>
      <w:r>
        <w:rPr>
          <w:rFonts w:ascii="Times New Roman" w:hAnsi="Times New Roman"/>
          <w:color w:val="000000"/>
          <w:sz w:val="31"/>
        </w:rPr>
        <w:t xml:space="preserve"> Procedures.</w:t>
      </w:r>
      <w:bookmarkEnd w:id="19"/>
    </w:p>
    <w:p>
      <w:pPr>
        <w:pStyle w:val="Normal"/>
        <w:pBdr>
          <w:top w:space="5"/>
          <w:left w:space="5"/>
          <w:bottom w:space="5"/>
          <w:right w:space="5"/>
        </w:pBdr>
        <w:spacing w:after="0"/>
        <w:ind w:left="225"/>
        <w:jc w:val="left"/>
      </w:pPr>
      <w:hyperlink r:id="R170bbbbff3ce4a60">
        <w:r>
          <w:rPr>
            <w:rStyle w:val="Hyperlink"/>
            <w:rFonts w:ascii="Times New Roman" w:hAnsi="Times New Roman"/>
            <w:color w:val="0000ff"/>
            <w:u w:val="single"/>
          </w:rPr>
          <w:t/>
        </w:r>
        <w:r>
          <w:rPr>
            <w:rFonts w:ascii="Times New Roman" w:hAnsi="Times New Roman"/>
            <w:color w:val="0000ff"/>
            <w:u w:val="single"/>
          </w:rPr>
          <w:t>DLA Instruction 1211, Industrial Capabilities Program (ICP) - Administer Enabling Statutory/Regulatory Programs</w:t>
        </w:r>
      </w:hyperlink>
      <w:r>
        <w:rPr>
          <w:rFonts w:ascii="Times New Roman" w:hAnsi="Times New Roman"/>
          <w:color w:val="000000"/>
        </w:rPr>
        <w:t xml:space="preserve"> (</w:t>
      </w:r>
      <w:hyperlink r:id="R9c7cb66502534f05">
        <w:r>
          <w:rPr>
            <w:rStyle w:val="Hyperlink"/>
            <w:rFonts w:ascii="Times New Roman" w:hAnsi="Times New Roman"/>
            <w:color w:val="0000ff"/>
            <w:u w:val="single"/>
          </w:rPr>
          <w:t/>
        </w:r>
        <w:r>
          <w:rPr>
            <w:rFonts w:ascii="Times New Roman" w:hAnsi="Times New Roman"/>
            <w:color w:val="0000ff"/>
            <w:u w:val="single"/>
          </w:rPr>
          <w:t>https://www.dla.mil/Portals/104/Documents/J5StrategicPlansPolicy/PublicIssuances/i1211.pdf</w:t>
        </w:r>
      </w:hyperlink>
      <w:r>
        <w:rPr>
          <w:rFonts w:ascii="Times New Roman" w:hAnsi="Times New Roman"/>
          <w:color w:val="000000"/>
        </w:rPr>
        <w:t>)</w:t>
      </w:r>
      <w:r>
        <w:rPr>
          <w:rFonts w:ascii="Times New Roman" w:hAnsi="Times New Roman"/>
          <w:color w:val="000000"/>
        </w:rPr>
        <w:t>contains the specific DLA procedures.</w:t>
      </w:r>
    </w:p>
    <!-- Created by docx4j 6.1.2 (Apache licensed) using REFERENCE JAXB in Oracle Java 15 on Linux -->
    <w:p>
      <w:pPr>
        <w:pStyle w:val="Heading2"/>
        <w:spacing w:after="180"/>
        <w:ind w:left="120"/>
        <w:jc w:val="center"/>
      </w:pPr>
      <w:bookmarkStart w:name="DLAD_SUBPART_11_7" w:id="20"/>
      <w:r>
        <w:rPr>
          <w:rFonts w:ascii="Times New Roman" w:hAnsi="Times New Roman"/>
          <w:color w:val="000000"/>
          <w:sz w:val="36"/>
        </w:rPr>
        <w:t>Subpart 11.7</w:t>
      </w:r>
      <w:r>
        <w:rPr>
          <w:rFonts w:ascii="Times New Roman" w:hAnsi="Times New Roman"/>
          <w:color w:val="000000"/>
          <w:sz w:val="36"/>
        </w:rPr>
        <w:t xml:space="preserve"> - VARIATION IN QUANTITY</w:t>
      </w:r>
      <w:bookmarkEnd w:id="20"/>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701" w:id="21"/>
      <w:r>
        <w:rPr>
          <w:rFonts w:ascii="Times New Roman" w:hAnsi="Times New Roman"/>
          <w:color w:val="000000"/>
          <w:sz w:val="31"/>
        </w:rPr>
        <w:t>11.701</w:t>
      </w:r>
      <w:r>
        <w:rPr>
          <w:rFonts w:ascii="Times New Roman" w:hAnsi="Times New Roman"/>
          <w:color w:val="000000"/>
          <w:sz w:val="31"/>
        </w:rPr>
        <w:t xml:space="preserve"> Supply contracts.</w:t>
      </w:r>
      <w:bookmarkEnd w:id="21"/>
    </w:p>
    <w:p>
      <w:pPr>
        <w:pStyle w:val="Normal"/>
        <w:pBdr>
          <w:top w:space="5"/>
          <w:left w:space="5"/>
          <w:bottom w:space="5"/>
          <w:right w:space="5"/>
        </w:pBdr>
        <w:spacing w:after="0"/>
        <w:ind w:left="225"/>
        <w:jc w:val="left"/>
      </w:pPr>
      <w:r>
        <w:rPr>
          <w:rFonts w:ascii="Times New Roman" w:hAnsi="Times New Roman"/>
          <w:color w:val="000000"/>
        </w:rPr>
        <w:t>b) Variation in quantity shall be based on commodity, stock or non-stock, unit of issue, and advice code.</w:t>
      </w:r>
    </w:p>
    <!-- Created by docx4j 6.1.2 (Apache licensed) using REFERENCE JAXB in Oracle Java 15 on Linux -->
    <w:p>
      <w:pPr>
        <w:pStyle w:val="Heading2"/>
        <w:spacing w:after="180"/>
        <w:ind w:left="120"/>
        <w:jc w:val="center"/>
      </w:pPr>
      <w:bookmarkStart w:name="DLAD_SUBPART_11_90" w:id="22"/>
      <w:r>
        <w:rPr>
          <w:rFonts w:ascii="Times New Roman" w:hAnsi="Times New Roman"/>
          <w:color w:val="000000"/>
          <w:sz w:val="36"/>
        </w:rPr>
        <w:t>Subpart 11.90</w:t>
      </w:r>
      <w:r>
        <w:rPr>
          <w:rFonts w:ascii="Times New Roman" w:hAnsi="Times New Roman"/>
          <w:color w:val="000000"/>
          <w:sz w:val="36"/>
        </w:rPr>
        <w:t xml:space="preserve"> - PRODUCT PHASE-OUT</w:t>
      </w:r>
      <w:bookmarkEnd w:id="22"/>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9001" w:id="23"/>
      <w:r>
        <w:rPr>
          <w:rFonts w:ascii="Times New Roman" w:hAnsi="Times New Roman"/>
          <w:color w:val="000000"/>
          <w:sz w:val="31"/>
        </w:rPr>
        <w:t>11.9001</w:t>
      </w:r>
      <w:r>
        <w:rPr>
          <w:rFonts w:ascii="Times New Roman" w:hAnsi="Times New Roman"/>
          <w:color w:val="000000"/>
          <w:sz w:val="31"/>
        </w:rPr>
        <w:t xml:space="preserve"> Notification of product phase-out.</w:t>
      </w:r>
      <w:bookmarkEnd w:id="23"/>
    </w:p>
    <w:p>
      <w:pPr>
        <w:pBdr>
          <w:top w:space="5"/>
          <w:left w:space="5"/>
          <w:bottom w:space="5"/>
          <w:right w:space="5"/>
        </w:pBdr>
        <w:spacing w:after="0"/>
        <w:ind w:left="225"/>
        <w:jc w:val="left"/>
      </w:pPr>
      <w:r>
        <w:rPr>
          <w:rFonts w:ascii="Times New Roman" w:hAnsi="Times New Roman"/>
          <w:b w:val="false"/>
          <w:i w:val="false"/>
          <w:color w:val="000000"/>
          <w:sz w:val="22"/>
        </w:rPr>
        <w:t>(a) All solicitations and contracts shall include procurement note C02.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C02 Manufacturing Phase-Out or Discontinuation of Production, Diminishing Sources, and Obsolete Materials or Components (DEC 2016)</w:t>
      </w:r>
    </w:p>
    <w:p>
      <w:pPr>
        <w:pStyle w:val="Normal"/>
        <w:pBdr>
          <w:top w:space="5"/>
          <w:left w:space="5"/>
          <w:bottom w:space="5"/>
          <w:right w:space="5"/>
        </w:pBdr>
        <w:spacing w:after="0"/>
        <w:ind w:left="225"/>
        <w:jc w:val="left"/>
      </w:pPr>
      <w:r>
        <w:rPr>
          <w:rFonts w:ascii="Times New Roman" w:hAnsi="Times New Roman"/>
          <w:color w:val="000000"/>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pPr>
        <w:pStyle w:val="Normal"/>
        <w:pBdr>
          <w:top w:space="5"/>
          <w:left w:space="5"/>
          <w:bottom w:space="5"/>
          <w:right w:space="5"/>
        </w:pBdr>
        <w:spacing w:after="0"/>
        <w:ind w:left="225"/>
        <w:jc w:val="left"/>
      </w:pPr>
      <w:r>
        <w:rPr>
          <w:rFonts w:ascii="Times New Roman" w:hAnsi="Times New Roman"/>
          <w:color w:val="000000"/>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1_91" w:id="24"/>
      <w:r>
        <w:rPr>
          <w:rFonts w:ascii="Times New Roman" w:hAnsi="Times New Roman"/>
          <w:color w:val="000000"/>
          <w:sz w:val="36"/>
        </w:rPr>
        <w:t>Subpart 11.91</w:t>
      </w:r>
      <w:r>
        <w:rPr>
          <w:rFonts w:ascii="Times New Roman" w:hAnsi="Times New Roman"/>
          <w:color w:val="000000"/>
          <w:sz w:val="36"/>
        </w:rPr>
        <w:t xml:space="preserve"> - ADDITIVE MANUFACTURING</w:t>
      </w:r>
      <w:bookmarkEnd w:id="24"/>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2018-14)</w:t>
      </w:r>
    </w:p>
    <!-- Created by docx4j 6.1.2 (Apache licensed) using REFERENCE JAXB in Oracle Java 15 on Linux -->
    <w:p>
      <w:pPr>
        <w:pStyle w:val="Heading3"/>
        <w:spacing w:after="199"/>
        <w:ind w:left="120"/>
        <w:jc w:val="left"/>
      </w:pPr>
      <w:bookmarkStart w:name="DLAD_11_9101" w:id="25"/>
      <w:r>
        <w:rPr>
          <w:rFonts w:ascii="Times New Roman" w:hAnsi="Times New Roman"/>
          <w:color w:val="000000"/>
          <w:sz w:val="31"/>
        </w:rPr>
        <w:t>11.9101</w:t>
      </w:r>
      <w:r>
        <w:rPr>
          <w:rFonts w:ascii="Times New Roman" w:hAnsi="Times New Roman"/>
          <w:color w:val="000000"/>
          <w:sz w:val="31"/>
        </w:rPr>
        <w:t xml:space="preserve"> Procurement note.</w:t>
      </w:r>
      <w:bookmarkEnd w:id="25"/>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insert procurement note L31 in all solicitations and contracts for parts and supplies, except for DCSO, DLA Energy, DLA Troop Support – Subsistence, and DLA Troop Support C&amp;T.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L31 Additive Manufacturing (JUN 2018)</w:t>
      </w:r>
    </w:p>
    <w:p>
      <w:pPr>
        <w:pBdr>
          <w:top w:space="5"/>
          <w:left w:space="5"/>
          <w:bottom w:space="5"/>
          <w:right w:space="5"/>
        </w:pBdr>
        <w:spacing w:after="0"/>
        <w:ind w:left="225"/>
        <w:jc w:val="left"/>
      </w:pPr>
      <w:r>
        <w:rPr>
          <w:rFonts w:ascii="Times New Roman" w:hAnsi="Times New Roman"/>
          <w:b w:val="false"/>
          <w:i w:val="false"/>
          <w:color w:val="000000"/>
          <w:sz w:val="22"/>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pPr>
        <w:pBdr>
          <w:top w:space="5"/>
          <w:left w:space="5"/>
          <w:bottom w:space="5"/>
          <w:right w:space="5"/>
        </w:pBdr>
        <w:spacing w:after="0"/>
        <w:ind w:left="225"/>
        <w:jc w:val="left"/>
      </w:pPr>
      <w:r>
        <w:rPr>
          <w:rFonts w:ascii="Times New Roman" w:hAnsi="Times New Roman"/>
          <w:b w:val="false"/>
          <w:i w:val="false"/>
          <w:color w:val="000000"/>
          <w:sz w:val="22"/>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pPr>
        <w:pBdr>
          <w:top w:space="5"/>
          <w:left w:space="5"/>
          <w:bottom w:space="5"/>
          <w:right w:space="5"/>
        </w:pBdr>
        <w:spacing w:after="0"/>
        <w:ind w:left="225"/>
        <w:jc w:val="left"/>
      </w:pPr>
      <w:r>
        <w:rPr>
          <w:rFonts w:ascii="Times New Roman" w:hAnsi="Times New Roman"/>
          <w:b w:val="false"/>
          <w:i w:val="false"/>
          <w:color w:val="000000"/>
          <w:sz w:val="22"/>
        </w:rPr>
        <w:t>(3) If an item produced using AM is presented to the Government for inspection and acceptance that was not authorized in the solicitation/contract, the Government may reject the item as nonconforming.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1_92" w:id="26"/>
      <w:r>
        <w:rPr>
          <w:rFonts w:ascii="Times New Roman" w:hAnsi="Times New Roman"/>
          <w:color w:val="000000"/>
          <w:sz w:val="36"/>
        </w:rPr>
        <w:t>Subpart 11.92</w:t>
      </w:r>
      <w:r>
        <w:rPr>
          <w:rFonts w:ascii="Times New Roman" w:hAnsi="Times New Roman"/>
          <w:color w:val="000000"/>
          <w:sz w:val="36"/>
        </w:rPr>
        <w:t xml:space="preserve"> - FEDERAL AVIATION ADMINISTRATION (FAA) CERTIFIED PARTS</w:t>
      </w:r>
      <w:bookmarkEnd w:id="26"/>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12,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1_9201" w:id="27"/>
      <w:r>
        <w:rPr>
          <w:rFonts w:ascii="Times New Roman" w:hAnsi="Times New Roman"/>
          <w:color w:val="000000"/>
          <w:sz w:val="31"/>
        </w:rPr>
        <w:t>11.9201</w:t>
      </w:r>
      <w:r>
        <w:rPr>
          <w:rFonts w:ascii="Times New Roman" w:hAnsi="Times New Roman"/>
          <w:color w:val="000000"/>
          <w:sz w:val="31"/>
        </w:rPr>
        <w:t xml:space="preserve"> Acquisition of FAA certified parts for consumable items.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When special procedure code “46” applies to a consumable item, contracting officers shall acquire only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w:t>
      </w:r>
    </w:p>
    <w:p>
      <w:pPr>
        <w:pStyle w:val="Normal"/>
        <w:pBdr>
          <w:top w:space="5"/>
          <w:left w:space="5"/>
          <w:bottom w:space="5"/>
          <w:right w:space="5"/>
        </w:pBdr>
        <w:spacing w:after="0"/>
        <w:ind w:left="225"/>
        <w:jc w:val="left"/>
      </w:pPr>
      <w:r>
        <w:rPr>
          <w:rFonts w:ascii="Times New Roman" w:hAnsi="Times New Roman"/>
          <w:color w:val="000000"/>
        </w:rPr>
        <w:t>(1) For manufacturers, check the Enterprise Business System Approved Manufacturer’s Parts List to confirm a manufacturer is FAA-approved, and document the contract file prior to award.</w:t>
      </w:r>
    </w:p>
    <w:p>
      <w:pPr>
        <w:pStyle w:val="Normal"/>
        <w:pBdr>
          <w:top w:space="5"/>
          <w:left w:space="5"/>
          <w:bottom w:space="5"/>
          <w:right w:space="5"/>
        </w:pBdr>
        <w:spacing w:after="0"/>
        <w:ind w:left="225"/>
        <w:jc w:val="left"/>
      </w:pPr>
      <w:r>
        <w:rPr>
          <w:rFonts w:ascii="Times New Roman" w:hAnsi="Times New Roman"/>
          <w:color w:val="000000"/>
        </w:rPr>
        <w:t xml:space="preserve">(2)(i) For dealers/distributors, check the </w:t>
      </w:r>
      <w:hyperlink r:id="R6817bbad6a014be5">
        <w:r>
          <w:rPr>
            <w:rStyle w:val="Hyperlink"/>
            <w:rFonts w:ascii="Times New Roman" w:hAnsi="Times New Roman"/>
            <w:color w:val="0000ff"/>
            <w:u w:val="single"/>
          </w:rPr>
          <w:t/>
        </w:r>
        <w:r>
          <w:rPr>
            <w:rFonts w:ascii="Times New Roman" w:hAnsi="Times New Roman"/>
            <w:color w:val="0000ff"/>
            <w:u w:val="single"/>
          </w:rPr>
          <w:t>FAA AC 00 56 List</w:t>
        </w:r>
      </w:hyperlink>
      <w:r>
        <w:rPr>
          <w:rFonts w:ascii="Times New Roman" w:hAnsi="Times New Roman"/>
          <w:color w:val="000000"/>
        </w:rPr>
        <w:t xml:space="preserve"> (</w:t>
      </w:r>
      <w:hyperlink r:id="R29e01af4ecf243a9">
        <w:r>
          <w:rPr>
            <w:rStyle w:val="Hyperlink"/>
            <w:rFonts w:ascii="Times New Roman" w:hAnsi="Times New Roman"/>
            <w:color w:val="0000ff"/>
            <w:u w:val="single"/>
          </w:rPr>
          <w:t/>
        </w:r>
        <w:r>
          <w:rPr>
            <w:rFonts w:ascii="Times New Roman" w:hAnsi="Times New Roman"/>
            <w:color w:val="0000ff"/>
            <w:u w:val="single"/>
          </w:rPr>
          <w:t>https://www.aviationsuppliers.org/FAA-AC-00-56B</w:t>
        </w:r>
      </w:hyperlink>
      <w:r>
        <w:rPr>
          <w:rFonts w:ascii="Times New Roman" w:hAnsi="Times New Roman"/>
          <w:color w:val="000000"/>
        </w:rPr>
        <w:t xml:space="preserve">) on the </w:t>
      </w:r>
      <w:hyperlink r:id="Re35f519e12e14d55">
        <w:r>
          <w:rPr>
            <w:rStyle w:val="Hyperlink"/>
            <w:rFonts w:ascii="Times New Roman" w:hAnsi="Times New Roman"/>
            <w:color w:val="0000ff"/>
            <w:u w:val="single"/>
          </w:rPr>
          <w:t/>
        </w:r>
        <w:r>
          <w:rPr>
            <w:rFonts w:ascii="Times New Roman" w:hAnsi="Times New Roman"/>
            <w:color w:val="0000ff"/>
            <w:u w:val="single"/>
          </w:rPr>
          <w:t>Aviation Suppliers Association (ASA) website</w:t>
        </w:r>
      </w:hyperlink>
      <w:r>
        <w:rPr>
          <w:rFonts w:ascii="Times New Roman" w:hAnsi="Times New Roman"/>
          <w:color w:val="000000"/>
        </w:rPr>
        <w:t xml:space="preserve"> </w:t>
      </w:r>
      <w:r>
        <w:rPr>
          <w:rFonts w:ascii="Times New Roman" w:hAnsi="Times New Roman"/>
          <w:color w:val="000000"/>
          <w:u w:val="single"/>
        </w:rPr>
        <w:t>(</w:t>
      </w:r>
      <w:r>
        <w:rPr>
          <w:rFonts w:ascii="Times New Roman" w:hAnsi="Times New Roman"/>
          <w:color w:val="000000"/>
          <w:u w:val="single"/>
        </w:rPr>
        <w:t>https://www.aviationsuppliers.org/</w:t>
      </w:r>
      <w:r>
        <w:rPr>
          <w:rFonts w:ascii="Times New Roman" w:hAnsi="Times New Roman"/>
          <w:color w:val="000000"/>
        </w:rPr>
        <w:t>) for the “Voluntary Industrial Distributor Accreditation Program Database” to confirm a dealer/distributor is FAA-approved. If so, contracting officers shall print a screenshot as evidence the offeror is eligible for award; or,</w:t>
      </w:r>
    </w:p>
    <w:p>
      <w:pPr>
        <w:pStyle w:val="Normal"/>
        <w:pBdr>
          <w:top w:space="5"/>
          <w:left w:space="5"/>
          <w:bottom w:space="5"/>
          <w:right w:space="5"/>
        </w:pBdr>
        <w:spacing w:after="0"/>
        <w:ind w:left="225"/>
        <w:jc w:val="left"/>
      </w:pPr>
      <w:r>
        <w:rPr>
          <w:rFonts w:ascii="Times New Roman" w:hAnsi="Times New Roman"/>
          <w:color w:val="000000"/>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include procurement note L32 in all solicitations for items that require FAA certification.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L32 Federal Aviation Administration (FAA) Certified Parts (JUN 2020)</w:t>
      </w:r>
    </w:p>
    <w:p>
      <w:pPr>
        <w:pStyle w:val="Normal"/>
        <w:pBdr>
          <w:top w:space="5"/>
          <w:left w:space="5"/>
          <w:bottom w:space="5"/>
          <w:right w:space="5"/>
        </w:pBdr>
        <w:spacing w:after="0"/>
        <w:ind w:left="225"/>
        <w:jc w:val="left"/>
      </w:pPr>
      <w:r>
        <w:rPr>
          <w:rFonts w:ascii="Times New Roman" w:hAnsi="Times New Roman"/>
          <w:color w:val="000000"/>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pPr>
        <w:pStyle w:val="Normal"/>
        <w:pBdr>
          <w:top w:space="5"/>
          <w:left w:space="5"/>
          <w:bottom w:space="5"/>
          <w:right w:space="5"/>
        </w:pBdr>
        <w:spacing w:after="0"/>
        <w:ind w:left="225"/>
        <w:jc w:val="left"/>
      </w:pPr>
      <w:r>
        <w:rPr>
          <w:rFonts w:ascii="Times New Roman" w:hAnsi="Times New Roman"/>
          <w:color w:val="000000"/>
        </w:rPr>
        <w:t>(a) Manufacturers: Production Certificate Holder; Part Manufacturer Approval; Technical Standard Order Approval; and/or Direct Ship Authority.</w:t>
      </w:r>
    </w:p>
    <w:p>
      <w:pPr>
        <w:pStyle w:val="Normal"/>
        <w:pBdr>
          <w:top w:space="5"/>
          <w:left w:space="5"/>
          <w:bottom w:space="5"/>
          <w:right w:space="5"/>
        </w:pBdr>
        <w:spacing w:after="0"/>
        <w:ind w:left="225"/>
        <w:jc w:val="left"/>
      </w:pPr>
      <w:r>
        <w:rPr>
          <w:rFonts w:ascii="Times New Roman" w:hAnsi="Times New Roman"/>
          <w:color w:val="000000"/>
        </w:rPr>
        <w:t>(b) Dealers/distributors: FAA Advisory Circular (AC) 00-56B accreditation; or FAA AC 00-56A accreditation until their accreditation expires, is superseded upon renewal, or is cancelled or removed by the accreditation organization.</w:t>
      </w:r>
    </w:p>
    <w:p>
      <w:pPr>
        <w:pStyle w:val="Normal"/>
        <w:pBdr>
          <w:top w:space="5"/>
          <w:left w:space="5"/>
          <w:bottom w:space="5"/>
          <w:right w:space="5"/>
        </w:pBdr>
        <w:spacing w:after="0"/>
        <w:ind w:left="225"/>
        <w:jc w:val="left"/>
      </w:pPr>
      <w:r>
        <w:rPr>
          <w:rFonts w:ascii="Times New Roman" w:hAnsi="Times New Roman"/>
          <w:color w:val="000000"/>
        </w:rPr>
        <w:t>(2) Dealers/distributors asserting compliance with FAA AC 00-56A or FAA AC 00-56B must—</w:t>
      </w:r>
    </w:p>
    <w:p>
      <w:pPr>
        <w:pStyle w:val="Normal"/>
        <w:pBdr>
          <w:top w:space="5"/>
          <w:left w:space="5"/>
          <w:bottom w:space="5"/>
          <w:right w:space="5"/>
        </w:pBdr>
        <w:spacing w:after="0"/>
        <w:ind w:left="225"/>
        <w:jc w:val="left"/>
      </w:pPr>
      <w:r>
        <w:rPr>
          <w:rFonts w:ascii="Times New Roman" w:hAnsi="Times New Roman"/>
          <w:color w:val="000000"/>
        </w:rPr>
        <w:t>(a) Be listed on the Voluntary Industrial Distributor Accreditation Program Database at Aviation Supplier Association (ASA) (http://www.aviationsuppliers.org/FAA-AC00-56), which the ASA maintains for the FAA; or</w:t>
      </w:r>
    </w:p>
    <w:p>
      <w:pPr>
        <w:pStyle w:val="Normal"/>
        <w:pBdr>
          <w:top w:space="5"/>
          <w:left w:space="5"/>
          <w:bottom w:space="5"/>
          <w:right w:space="5"/>
        </w:pBdr>
        <w:spacing w:after="0"/>
        <w:ind w:left="225"/>
        <w:jc w:val="left"/>
      </w:pPr>
      <w:r>
        <w:rPr>
          <w:rFonts w:ascii="Times New Roman" w:hAnsi="Times New Roman"/>
          <w:color w:val="000000"/>
        </w:rPr>
        <w:t>(b) Provide with their offer traceability and system quality documentation, referencing the solicitation number in the title, that demonstrates the following:</w:t>
      </w:r>
    </w:p>
    <w:p>
      <w:pPr>
        <w:pBdr>
          <w:top w:space="5"/>
          <w:left w:space="5"/>
          <w:bottom w:space="5"/>
          <w:right w:space="5"/>
        </w:pBdr>
        <w:spacing w:after="0"/>
        <w:ind w:left="945"/>
        <w:jc w:val="left"/>
      </w:pPr>
      <w:r>
        <w:rPr>
          <w:rFonts w:ascii="Times New Roman" w:hAnsi="Times New Roman"/>
          <w:b w:val="false"/>
          <w:i w:val="false"/>
          <w:color w:val="000000"/>
          <w:sz w:val="22"/>
        </w:rPr>
        <w:t>(i) Unbroken chain of traceability, by lot and batch number or by serial number, from the original FAA-approved manufacturer through all entities that either purchased, received, stored, and/or redistributed the item(s); and</w:t>
      </w:r>
    </w:p>
    <w:p>
      <w:pPr>
        <w:pBdr>
          <w:top w:space="5"/>
          <w:left w:space="5"/>
          <w:bottom w:space="5"/>
          <w:right w:space="5"/>
        </w:pBdr>
        <w:spacing w:after="0"/>
        <w:ind w:left="945"/>
        <w:jc w:val="left"/>
      </w:pPr>
      <w:r>
        <w:rPr>
          <w:rFonts w:ascii="Times New Roman" w:hAnsi="Times New Roman"/>
          <w:b w:val="false"/>
          <w:i w:val="false"/>
          <w:color w:val="000000"/>
          <w:sz w:val="22"/>
        </w:rPr>
        <w:t>(ii) Quality system, for distributors of civil aeronautical parts, accredited by one or more of the following organizations: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04"/>
        <w:gridCol w:w="2194"/>
        <w:gridCol w:w="2022"/>
        <w:gridCol w:w="2829"/>
      </w:tblGrid>
      <w:tr>
        <w:trPr>
          <w:trHeight w:val="25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Quality System Standards Organization</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 Quality System</w:t>
            </w:r>
          </w:p>
          <w:p>
            <w:pPr>
              <w:pBdr>
                <w:top w:space="5"/>
                <w:left w:space="5"/>
                <w:bottom w:space="5"/>
                <w:right w:space="5"/>
              </w:pBdr>
              <w:spacing w:after="0"/>
              <w:ind w:left="240"/>
              <w:jc w:val="left"/>
            </w:pPr>
            <w:r>
              <w:rPr>
                <w:rFonts w:ascii="Times New Roman" w:hAnsi="Times New Roman"/>
                <w:b/>
                <w:i w:val="false"/>
                <w:color w:val="000000"/>
                <w:sz w:val="22"/>
              </w:rPr>
              <w:t>Standard</w:t>
            </w:r>
          </w:p>
          <w:p>
            <w:pPr>
              <w:pBdr>
                <w:top w:space="5"/>
                <w:left w:space="5"/>
                <w:bottom w:space="5"/>
                <w:right w:space="5"/>
              </w:pBdr>
              <w:spacing w:after="0"/>
              <w:ind w:left="240"/>
              <w:jc w:val="left"/>
            </w:pPr>
            <w:r>
              <w:rPr>
                <w:rFonts w:ascii="Times New Roman" w:hAnsi="Times New Roman"/>
                <w:b/>
                <w:i w:val="false"/>
                <w:color w:val="000000"/>
                <w:sz w:val="22"/>
              </w:rPr>
              <w:t>(Current Revision Required)</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Title</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Accreditation Organization</w:t>
            </w: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Aviation Suppliers Association (ASA)</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System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9dde1f56195b46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Aviation Suppliers Association (ASA)</w:t>
              </w:r>
            </w:hyperlink>
            <w:r>
              <w:rPr>
                <w:rFonts w:ascii="Times New Roman" w:hAnsi="Times New Roman"/>
                <w:b w:val="false"/>
                <w:i w:val="false"/>
                <w:color w:val="000000"/>
                <w:sz w:val="22"/>
              </w:rPr>
              <w:t xml:space="preserve"> (</w:t>
            </w:r>
            <w:hyperlink r:id="Rc4527c67d99d42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https://www.aviationsup</w:t>
              </w:r>
            </w:hyperlink>
            <w:r>
              <w:rPr>
                <w:rFonts w:ascii="Times New Roman" w:hAnsi="Times New Roman"/>
                <w:b w:val="false"/>
                <w:i w:val="false"/>
                <w:color w:val="000000"/>
                <w:sz w:val="22"/>
              </w:rPr>
              <w:t xml:space="preserve"> pliers.org/default.aspx)</w:t>
            </w:r>
          </w:p>
        </w:tc>
      </w:tr>
      <w:tr>
        <w:trPr>
          <w:trHeight w:val="187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Transonic Aviation Consultants</w:t>
            </w:r>
          </w:p>
        </w:tc>
        <w:tc>
          <w:tcPr>
            <w:tcW w:w="269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TAC-2000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Aeronautical Parts Distributor Quality Assurance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733c192b7a274c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Transonic Aviation Consultants</w:t>
              </w:r>
            </w:hyperlink>
            <w:r>
              <w:rPr>
                <w:rFonts w:ascii="Times New Roman" w:hAnsi="Times New Roman"/>
                <w:b w:val="false"/>
                <w:i w:val="false"/>
                <w:color w:val="000000"/>
                <w:sz w:val="22"/>
              </w:rPr>
              <w:t xml:space="preserve"> (</w:t>
            </w:r>
            <w:hyperlink r:id="R56562ecb78974b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http://transonicaviation.com/</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0" w:type="auto"/>
            <w:vMerge/>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 Organization for Standardization (ISO)</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ISO-9001</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Management Systems Requirements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bodies accredited by International Accreditation Forum (IAF) accreditation body signatories (</w:t>
            </w:r>
            <w:hyperlink r:id="R0086e00b65f44c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https://www.iaf.nu/</w:t>
              </w:r>
            </w:hyperlink>
            <w:r>
              <w:rPr>
                <w:rFonts w:ascii="Times New Roman" w:hAnsi="Times New Roman"/>
                <w:b w:val="false"/>
                <w:i w:val="false"/>
                <w:color w:val="000000"/>
                <w:sz w:val="22"/>
              </w:rPr>
              <w:t>)</w:t>
            </w:r>
          </w:p>
        </w:tc>
      </w:tr>
      <w:tr>
        <w:trPr>
          <w:trHeight w:val="52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 of organizations (certification</w:t>
            </w:r>
          </w:p>
        </w:tc>
      </w:tr>
      <w:tr>
        <w:trPr>
          <w:trHeight w:val="244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Aerospace Quality Group (IAQG)</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AS9110</w:t>
            </w:r>
          </w:p>
          <w:p>
            <w:pPr>
              <w:pBdr>
                <w:top w:space="5"/>
                <w:left w:space="5"/>
                <w:bottom w:space="5"/>
                <w:right w:space="5"/>
              </w:pBdr>
              <w:spacing w:after="0"/>
              <w:ind w:left="240"/>
              <w:jc w:val="left"/>
            </w:pPr>
            <w:r>
              <w:rPr>
                <w:rFonts w:ascii="Times New Roman" w:hAnsi="Times New Roman"/>
                <w:b w:val="false"/>
                <w:i w:val="false"/>
                <w:color w:val="000000"/>
                <w:sz w:val="22"/>
              </w:rPr>
              <w:t>AS9120</w:t>
            </w:r>
          </w:p>
          <w:p>
            <w:pPr>
              <w:pBdr>
                <w:top w:space="5"/>
                <w:left w:space="5"/>
                <w:bottom w:space="5"/>
                <w:right w:space="5"/>
              </w:pBdr>
              <w:spacing w:after="0"/>
              <w:ind w:left="240"/>
              <w:jc w:val="left"/>
            </w:pPr>
            <w:r>
              <w:rPr>
                <w:rFonts w:ascii="Times New Roman" w:hAnsi="Times New Roman"/>
                <w:b w:val="false"/>
                <w:i w:val="false"/>
                <w:color w:val="000000"/>
                <w:sz w:val="22"/>
              </w:rPr>
              <w:t>(EN9100</w:t>
            </w:r>
          </w:p>
          <w:p>
            <w:pPr>
              <w:pBdr>
                <w:top w:space="5"/>
                <w:left w:space="5"/>
                <w:bottom w:space="5"/>
                <w:right w:space="5"/>
              </w:pBdr>
              <w:spacing w:after="0"/>
              <w:ind w:left="240"/>
              <w:jc w:val="left"/>
            </w:pPr>
            <w:r>
              <w:rPr>
                <w:rFonts w:ascii="Times New Roman" w:hAnsi="Times New Roman"/>
                <w:b w:val="false"/>
                <w:i w:val="false"/>
                <w:color w:val="000000"/>
                <w:sz w:val="22"/>
              </w:rPr>
              <w:t>EN9110, and</w:t>
            </w:r>
          </w:p>
          <w:p>
            <w:pPr>
              <w:pBdr>
                <w:top w:space="5"/>
                <w:left w:space="5"/>
                <w:bottom w:space="5"/>
                <w:right w:space="5"/>
              </w:pBdr>
              <w:spacing w:after="0"/>
              <w:ind w:left="240"/>
              <w:jc w:val="left"/>
            </w:pPr>
            <w:r>
              <w:rPr>
                <w:rFonts w:ascii="Times New Roman" w:hAnsi="Times New Roman"/>
                <w:b w:val="false"/>
                <w:i w:val="false"/>
                <w:color w:val="000000"/>
                <w:sz w:val="22"/>
              </w:rPr>
              <w:t>EN9120)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Management Systems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bodies) is maintained on </w:t>
            </w:r>
            <w:hyperlink r:id="Rfcf9f05964ac4b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IAQG Aerospace Supplier Information System (OASIS) Database Website</w:t>
              </w:r>
            </w:hyperlink>
            <w:r>
              <w:rPr>
                <w:rFonts w:ascii="Times New Roman" w:hAnsi="Times New Roman"/>
                <w:b w:val="false"/>
                <w:i w:val="false"/>
                <w:color w:val="000000"/>
                <w:sz w:val="22"/>
              </w:rPr>
              <w:t xml:space="preserve"> (</w:t>
            </w:r>
            <w:hyperlink r:id="Rfe55e50d4f6c4f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https://www.iaqg.org/oasis/login</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insert procurement note H13 in solicitations and awards for consumable items that require production by an FAA-approved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H13 Federal Aviation Administration (FAA) Certified Parts – Shipment Documentation Requirements (JUN 2020)</w:t>
      </w:r>
    </w:p>
    <w:p>
      <w:pPr>
        <w:pBdr>
          <w:top w:space="5"/>
          <w:left w:space="5"/>
          <w:bottom w:space="5"/>
          <w:right w:space="5"/>
        </w:pBdr>
        <w:spacing w:after="0"/>
        <w:ind w:left="225"/>
        <w:jc w:val="left"/>
      </w:pPr>
      <w:r>
        <w:rPr>
          <w:rFonts w:ascii="Times New Roman" w:hAnsi="Times New Roman"/>
          <w:b w:val="false"/>
          <w:i w:val="false"/>
          <w:color w:val="000000"/>
          <w:sz w:val="22"/>
        </w:rPr>
        <w:t>(1) The contractor shall furnish acceptable documentation with each shipment demonstrating appropriate certification of the item. Acceptable documentation is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FAA Form 8130-3, Airworthiness Approval Tag;</w:t>
      </w:r>
    </w:p>
    <w:p>
      <w:pPr>
        <w:pBdr>
          <w:top w:space="5"/>
          <w:left w:space="5"/>
          <w:bottom w:space="5"/>
          <w:right w:space="5"/>
        </w:pBdr>
        <w:spacing w:after="0"/>
        <w:ind w:left="225"/>
        <w:jc w:val="left"/>
      </w:pPr>
      <w:r>
        <w:rPr>
          <w:rFonts w:ascii="Times New Roman" w:hAnsi="Times New Roman"/>
          <w:b w:val="false"/>
          <w:i w:val="false"/>
          <w:color w:val="000000"/>
          <w:sz w:val="22"/>
        </w:rPr>
        <w:t>(b) Certificate of Conformance with information equivalent to information on FAA Form 8130-3, and compliant with the Contract Deliverables Requirements List;</w:t>
      </w:r>
    </w:p>
    <w:p>
      <w:pPr>
        <w:pBdr>
          <w:top w:space="5"/>
          <w:left w:space="5"/>
          <w:bottom w:space="5"/>
          <w:right w:space="5"/>
        </w:pBdr>
        <w:spacing w:after="0"/>
        <w:ind w:left="225"/>
        <w:jc w:val="left"/>
      </w:pPr>
      <w:r>
        <w:rPr>
          <w:rFonts w:ascii="Times New Roman" w:hAnsi="Times New Roman"/>
          <w:b w:val="false"/>
          <w:i w:val="false"/>
          <w:color w:val="000000"/>
          <w:sz w:val="22"/>
        </w:rPr>
        <w:t>(c) European Aviation Safety Agency (EASA) Form 1, Authorized Release Certificate; or</w:t>
      </w:r>
    </w:p>
    <w:p>
      <w:pPr>
        <w:pBdr>
          <w:top w:space="5"/>
          <w:left w:space="5"/>
          <w:bottom w:space="5"/>
          <w:right w:space="5"/>
        </w:pBdr>
        <w:spacing w:after="0"/>
        <w:ind w:left="225"/>
        <w:jc w:val="left"/>
      </w:pPr>
      <w:r>
        <w:rPr>
          <w:rFonts w:ascii="Times New Roman" w:hAnsi="Times New Roman"/>
          <w:b w:val="false"/>
          <w:i w:val="false"/>
          <w:color w:val="000000"/>
          <w:sz w:val="22"/>
        </w:rPr>
        <w:t>(d) Transport Canada Civil Aviation (TCCA) Form One, Authorized Release Certificate Form One.</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with each shipment documentation that includes a statement confirming all items in the shipment are new, unused, and meet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(3) For each quantity unit pack (QUP) equal to each unit of issue, the contractor shall provide a copy of the documentation described in paragraph (1) of this procurement note. The contractor shall package the documentation with the material prior to shipment. If the material is manufactured in different lots, the contractor shall provide the documentation for each lot.</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indicate on the marking/labels that the appropriate documentation applies and is included inside the package. The contractor shall place marking/labels on the outside of the packaging.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1_9202" w:id="28"/>
      <w:r>
        <w:rPr>
          <w:rFonts w:ascii="Times New Roman" w:hAnsi="Times New Roman"/>
          <w:color w:val="000000"/>
          <w:sz w:val="31"/>
        </w:rPr>
        <w:t>11.9202</w:t>
      </w:r>
      <w:r>
        <w:rPr>
          <w:rFonts w:ascii="Times New Roman" w:hAnsi="Times New Roman"/>
          <w:color w:val="000000"/>
          <w:sz w:val="31"/>
        </w:rPr>
        <w:t xml:space="preserve"> Acquisition of FAA certified parts for depot level repairable (DLR) items.</w:t>
      </w:r>
      <w:bookmarkEnd w:id="28"/>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acquire FAA certified parts for DLR items based on the requiring activity’s requirements and acceptable sources, as stated in documentation that accompanies the purchase request and in the following:</w:t>
      </w:r>
    </w:p>
    <w:p>
      <w:pPr>
        <w:pBdr>
          <w:top w:space="5"/>
          <w:left w:space="5"/>
          <w:bottom w:space="5"/>
          <w:right w:space="5"/>
        </w:pBdr>
        <w:spacing w:after="0"/>
        <w:ind w:left="585"/>
        <w:jc w:val="left"/>
      </w:pPr>
      <w:r>
        <w:rPr>
          <w:rFonts w:ascii="Times New Roman" w:hAnsi="Times New Roman"/>
          <w:b w:val="false"/>
          <w:i w:val="false"/>
          <w:color w:val="000000"/>
          <w:sz w:val="22"/>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pPr>
        <w:pBdr>
          <w:top w:space="5"/>
          <w:left w:space="5"/>
          <w:bottom w:space="5"/>
          <w:right w:space="5"/>
        </w:pBdr>
        <w:spacing w:after="0"/>
        <w:ind w:left="585"/>
        <w:jc w:val="left"/>
      </w:pPr>
      <w:r>
        <w:rPr>
          <w:rFonts w:ascii="Times New Roman" w:hAnsi="Times New Roman"/>
          <w:b w:val="false"/>
          <w:i w:val="false"/>
          <w:color w:val="000000"/>
          <w:sz w:val="22"/>
        </w:rPr>
        <w:t>(2) AFMC Form 807, Recommended Quality Assurance Provisions and Special Inspection: Requirements, which contains special inspection requirements and/or instructions for the procurement of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(c) Government surplus material is not acceptable for FAA certified parts. The contractor shall furnish only new, unused material.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include procurement note C22 in all solicitations and awards when procuring FAA certified parts for DLR items.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C22 Federal Aviation Administration (FAA) Certified Parts – Depot Level Repairable (DLR) Items (DEC 2018)</w:t>
      </w:r>
    </w:p>
    <w:p>
      <w:pPr>
        <w:pBdr>
          <w:top w:space="5"/>
          <w:left w:space="5"/>
          <w:bottom w:space="5"/>
          <w:right w:space="5"/>
        </w:pBdr>
        <w:spacing w:after="0"/>
        <w:ind w:left="225"/>
        <w:jc w:val="left"/>
      </w:pPr>
      <w:r>
        <w:rPr>
          <w:rFonts w:ascii="Times New Roman" w:hAnsi="Times New Roman"/>
          <w:b w:val="false"/>
          <w:i w:val="false"/>
          <w:color w:val="000000"/>
          <w:sz w:val="22"/>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pgNumType w:start="1"/>
      <w:footerReference w:type="default" r:id="Rddaca73f97c2493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daca73f97c24936" /><Relationship Type="http://schemas.openxmlformats.org/officeDocument/2006/relationships/hyperlink" Target="SUBPART_11.1.dita#DLAD_SUBPART_11_1" TargetMode="External" Id="R7fd57156504841c7" /><Relationship Type="http://schemas.openxmlformats.org/officeDocument/2006/relationships/hyperlink" Target="11.103.dita#DLAD_11_103" TargetMode="External" Id="Rd7c4151ca12a401a" /><Relationship Type="http://schemas.openxmlformats.org/officeDocument/2006/relationships/hyperlink" Target="SUBPART_11.2.dita#DLAD_SUBPART_11_2" TargetMode="External" Id="R125bfc3a4ee640c7" /><Relationship Type="http://schemas.openxmlformats.org/officeDocument/2006/relationships/hyperlink" Target="11.201.dita#DLAD_11_201" TargetMode="External" Id="R92f20e5290014abe" /><Relationship Type="http://schemas.openxmlformats.org/officeDocument/2006/relationships/hyperlink" Target="11.274.dita#DLAD_11_274" TargetMode="External" Id="R9ed8d7aa0b1a4586" /><Relationship Type="http://schemas.openxmlformats.org/officeDocument/2006/relationships/hyperlink" Target="11.274-2.dita#DLAD_11_274-2" TargetMode="External" Id="R25874aa3861d4f81" /><Relationship Type="http://schemas.openxmlformats.org/officeDocument/2006/relationships/hyperlink" Target="SUBPART_11.3.dita#DLAD_SUBPART_11_3" TargetMode="External" Id="R5c8a4234ea234833" /><Relationship Type="http://schemas.openxmlformats.org/officeDocument/2006/relationships/hyperlink" Target="11.302.dita#DLAD_11_302" TargetMode="External" Id="Re7c34b138d8b4b3f" /><Relationship Type="http://schemas.openxmlformats.org/officeDocument/2006/relationships/hyperlink" Target="11.390.dita#DLAD_11_390" TargetMode="External" Id="Rb2831b87467b4c30" /><Relationship Type="http://schemas.openxmlformats.org/officeDocument/2006/relationships/hyperlink" Target="11.391.dita#DLAD_11_391" TargetMode="External" Id="R6c3ca5f820df4640" /><Relationship Type="http://schemas.openxmlformats.org/officeDocument/2006/relationships/hyperlink" Target="11.392.dita#DLAD_11_392" TargetMode="External" Id="Rf85d139f3b3f4cf8" /><Relationship Type="http://schemas.openxmlformats.org/officeDocument/2006/relationships/hyperlink" Target="SUBPART_11.4.dita#DLAD_SUBPART_11_4" TargetMode="External" Id="Raa6e8e8cd6e841ed" /><Relationship Type="http://schemas.openxmlformats.org/officeDocument/2006/relationships/hyperlink" Target="11.401.dita#DLAD_11_401" TargetMode="External" Id="Rd58a30ebd35c48d5" /><Relationship Type="http://schemas.openxmlformats.org/officeDocument/2006/relationships/hyperlink" Target="11.402-90.dita#DLAD_11_402-90" TargetMode="External" Id="Rd94069c4cad8435c" /><Relationship Type="http://schemas.openxmlformats.org/officeDocument/2006/relationships/hyperlink" Target="11.402-91.dita#DLAD_11_402-91" TargetMode="External" Id="Rb65043c2714c41ec" /><Relationship Type="http://schemas.openxmlformats.org/officeDocument/2006/relationships/hyperlink" Target="SUBPART_11.5.dita#DLAD_SUBPART_11_5" TargetMode="External" Id="R2ffcf5faf199463e" /><Relationship Type="http://schemas.openxmlformats.org/officeDocument/2006/relationships/hyperlink" Target="11.501.dita#DLAD_11_501" TargetMode="External" Id="Ref1ea1b67ef54588" /><Relationship Type="http://schemas.openxmlformats.org/officeDocument/2006/relationships/hyperlink" Target="SUBPART_11.6.dita#DLAD_SUBPART_11_6" TargetMode="External" Id="R258c511dc84a40d7" /><Relationship Type="http://schemas.openxmlformats.org/officeDocument/2006/relationships/hyperlink" Target="11.603.dita#DLAD_11_603" TargetMode="External" Id="R09bebb6f1c8d43e6" /><Relationship Type="http://schemas.openxmlformats.org/officeDocument/2006/relationships/hyperlink" Target="SUBPART_11.7.dita#DLAD_SUBPART_11_7" TargetMode="External" Id="R32e8481151214e2a" /><Relationship Type="http://schemas.openxmlformats.org/officeDocument/2006/relationships/hyperlink" Target="11.701.dita#DLAD_11_701" TargetMode="External" Id="R005a179a261b48e2" /><Relationship Type="http://schemas.openxmlformats.org/officeDocument/2006/relationships/hyperlink" Target="SUBPART_11.90.dita#DLAD_SUBPART_11_90" TargetMode="External" Id="Rd5ed05fe984b406f" /><Relationship Type="http://schemas.openxmlformats.org/officeDocument/2006/relationships/hyperlink" Target="11.9001.dita#DLAD_11_9001" TargetMode="External" Id="Raaad883b98d84970" /><Relationship Type="http://schemas.openxmlformats.org/officeDocument/2006/relationships/hyperlink" Target="SUBPART_11.91.dita#DLAD_SUBPART_11_91" TargetMode="External" Id="R74ff2a10a9ee4abb" /><Relationship Type="http://schemas.openxmlformats.org/officeDocument/2006/relationships/hyperlink" Target="11.9101.dita#DLAD_11_9101" TargetMode="External" Id="Rb7306ca992eb4a50" /><Relationship Type="http://schemas.openxmlformats.org/officeDocument/2006/relationships/hyperlink" Target="SUBPART_11.92.dita#DLAD_SUBPART_11_92" TargetMode="External" Id="R62624da1d3aa4f15" /><Relationship Type="http://schemas.openxmlformats.org/officeDocument/2006/relationships/hyperlink" Target="11.9201.dita#DLAD_11_9201" TargetMode="External" Id="Rea184b8528054ccd" /><Relationship Type="http://schemas.openxmlformats.org/officeDocument/2006/relationships/hyperlink" Target="11.9202.dita#DLAD_11_9202" TargetMode="External" Id="R31f2ed2bc1c84343" /><Relationship Type="http://schemas.openxmlformats.org/officeDocument/2006/relationships/hyperlink" Target="4.703.dita#DLAD_4_703" TargetMode="External" Id="R848069e912914ea3" /><Relationship Type="http://schemas.openxmlformats.org/officeDocument/2006/relationships/hyperlink" Target="http://www.dla.mil/LandandMaritime/Business/Selling/Counterfeit-Detection-Avoidance-Program/" TargetMode="External" Id="R600830e753754d7a" /><Relationship Type="http://schemas.openxmlformats.org/officeDocument/2006/relationships/hyperlink" Target="http://www.dla.mil/LandandMaritime/Business/Selling/Counterfeit-Detection-Avoidance-Program/" TargetMode="External" Id="R4e213fc0305c40e5" /><Relationship Type="http://schemas.openxmlformats.org/officeDocument/2006/relationships/hyperlink" Target="11.402-91.dita#DLAD_11_402-91" TargetMode="External" Id="Rb14f6ce536434bbd" /><Relationship Type="http://schemas.openxmlformats.org/officeDocument/2006/relationships/hyperlink" Target="https://www.dla.mil/Portals/104/Documents/J5StrategicPlansPolicy/PublicIssuances/i1211.pdf" TargetMode="External" Id="R170bbbbff3ce4a60" /><Relationship Type="http://schemas.openxmlformats.org/officeDocument/2006/relationships/hyperlink" Target="https://www.dla.mil/Portals/104/Documents/J5StrategicPlansPolicy/PublicIssuances/i1211.pdf" TargetMode="External" Id="R9c7cb66502534f05" /><Relationship Type="http://schemas.openxmlformats.org/officeDocument/2006/relationships/hyperlink" Target="https://www.aviationsuppliers.org/FAA-AC-00-56B" TargetMode="External" Id="R6817bbad6a014be5" /><Relationship Type="http://schemas.openxmlformats.org/officeDocument/2006/relationships/hyperlink" Target="https://www.aviationsuppliers.org/FAA-AC-00-56B" TargetMode="External" Id="R29e01af4ecf243a9" /><Relationship Type="http://schemas.openxmlformats.org/officeDocument/2006/relationships/hyperlink" Target="Aviation%20Suppliers%20Association%20(ASA)%20website%20" TargetMode="External" Id="Re35f519e12e14d55" /><Relationship Type="http://schemas.openxmlformats.org/officeDocument/2006/relationships/hyperlink" Target="https://www.aviationsuppliers.org/default.aspx" TargetMode="External" Id="R9dde1f56195b4677" /><Relationship Type="http://schemas.openxmlformats.org/officeDocument/2006/relationships/hyperlink" Target="https://www.aviationsup" TargetMode="External" Id="Rc4527c67d99d4221" /><Relationship Type="http://schemas.openxmlformats.org/officeDocument/2006/relationships/hyperlink" Target="http://transonicaviation.com/" TargetMode="External" Id="R733c192b7a274cc2" /><Relationship Type="http://schemas.openxmlformats.org/officeDocument/2006/relationships/hyperlink" Target="http://transonicaviation.com/" TargetMode="External" Id="R56562ecb78974b6b" /><Relationship Type="http://schemas.openxmlformats.org/officeDocument/2006/relationships/hyperlink" Target="https://www.iaf.nu/" TargetMode="External" Id="R0086e00b65f44cbf" /><Relationship Type="http://schemas.openxmlformats.org/officeDocument/2006/relationships/hyperlink" Target="https://www.iaqg.org/oasis/login" TargetMode="External" Id="Rfcf9f05964ac4ba7" /><Relationship Type="http://schemas.openxmlformats.org/officeDocument/2006/relationships/hyperlink" Target="https://www.iaqg.org/oasis/login" TargetMode="External" Id="Rfe55e50d4f6c4f6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