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5" w:id="0"/>
      <w:r>
        <w:rPr>
          <w:rFonts w:ascii="Times New Roman" w:hAnsi="Times New Roman"/>
          <w:color w:val="000000"/>
        </w:rPr>
        <w:t>Part 15</w:t>
      </w:r>
      <w:r>
        <w:rPr>
          <w:rFonts w:ascii="Times New Roman" w:hAnsi="Times New Roman"/>
          <w:color w:val="000000"/>
        </w:rPr>
        <w:t xml:space="preserve"> - CONTRACTING BY NEGOTIATION</w:t>
      </w:r>
      <w:bookmarkEnd w:id="0"/>
    </w:p>
    <w:p>
      <w:pPr>
        <w:spacing w:after="0"/>
        <w:jc w:val="left"/>
        <w:ind w:left="720" w:hanging="360"/>
      </w:pPr>
      <w:hyperlink w:anchor="DLAD_SUBPART_15_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LAD_15_303">
        <w:r>
          <w:rPr>
            <w:rStyle w:val="Hyperlink"/>
            <w:rFonts w:ascii="Times New Roman" w:hAnsi="Times New Roman"/>
            <w:b w:val="false"/>
            <w:i w:val="false"/>
            <w:color w:val="0000ff"/>
            <w:sz w:val="22"/>
            <w:u w:val="single"/>
          </w:rPr>
          <w:t>15.303 Responsibilities.</w:t>
        </w:r>
      </w:hyperlink>
    </w:p>
    <w:p>
      <w:pPr>
        <w:spacing w:after="0"/>
        <w:jc w:val="left"/>
        <w:ind w:left="720" w:hanging="360"/>
      </w:pPr>
      <w:hyperlink w:anchor="DLAD_SUBPART_15_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LAD_15_402">
        <w:r>
          <w:rPr>
            <w:rStyle w:val="Hyperlink"/>
            <w:rFonts w:ascii="Times New Roman" w:hAnsi="Times New Roman"/>
            <w:b w:val="false"/>
            <w:i w:val="false"/>
            <w:color w:val="0000ff"/>
            <w:sz w:val="22"/>
            <w:u w:val="single"/>
          </w:rPr>
          <w:t>15.402 Pricing policy.</w:t>
        </w:r>
      </w:hyperlink>
    </w:p>
    <w:p>
      <w:pPr>
        <w:spacing w:after="0"/>
        <w:jc w:val="left"/>
        <w:ind w:left="1440" w:hanging="360"/>
      </w:pPr>
      <w:hyperlink w:anchor="DLAD_15_403">
        <w:r>
          <w:rPr>
            <w:rStyle w:val="Hyperlink"/>
            <w:rFonts w:ascii="Times New Roman" w:hAnsi="Times New Roman"/>
            <w:b w:val="false"/>
            <w:i w:val="false"/>
            <w:color w:val="0000ff"/>
            <w:sz w:val="22"/>
            <w:u w:val="single"/>
          </w:rPr>
          <w:t>15.403 Obtaining certified cost or pricing data.</w:t>
        </w:r>
      </w:hyperlink>
    </w:p>
    <w:p>
      <w:pPr>
        <w:spacing w:after="0"/>
        <w:jc w:val="left"/>
        <w:ind w:left="2160" w:hanging="360"/>
      </w:pPr>
      <w:hyperlink w:anchor="DLAD_15_403-1">
        <w:r>
          <w:rPr>
            <w:rStyle w:val="Hyperlink"/>
            <w:rFonts w:ascii="Times New Roman" w:hAnsi="Times New Roman"/>
            <w:b w:val="false"/>
            <w:i w:val="false"/>
            <w:color w:val="0000ff"/>
            <w:sz w:val="22"/>
            <w:u w:val="single"/>
          </w:rPr>
          <w:t>15.403-1 Prohibition on obtaining certified cost or pricing data (10 U.S.C. 2306a and 41 U.S.C. chapter 35)</w:t>
        </w:r>
      </w:hyperlink>
    </w:p>
    <w:p>
      <w:pPr>
        <w:spacing w:after="0"/>
        <w:jc w:val="left"/>
        <w:ind w:left="2160" w:hanging="360"/>
      </w:pPr>
      <w:hyperlink w:anchor="DLAD_15_403-3">
        <w:r>
          <w:rPr>
            <w:rStyle w:val="Hyperlink"/>
            <w:rFonts w:ascii="Times New Roman" w:hAnsi="Times New Roman"/>
            <w:b w:val="false"/>
            <w:i w:val="false"/>
            <w:color w:val="0000ff"/>
            <w:sz w:val="22"/>
            <w:u w:val="single"/>
          </w:rPr>
          <w:t>15.403-3 Requiring data other than cost or pricing data.</w:t>
        </w:r>
      </w:hyperlink>
    </w:p>
    <w:p>
      <w:pPr>
        <w:spacing w:after="0"/>
        <w:jc w:val="left"/>
        <w:ind w:left="2160" w:hanging="360"/>
      </w:pPr>
      <w:hyperlink w:anchor="DLAD_15_403-4">
        <w:r>
          <w:rPr>
            <w:rStyle w:val="Hyperlink"/>
            <w:rFonts w:ascii="Times New Roman" w:hAnsi="Times New Roman"/>
            <w:b w:val="false"/>
            <w:i w:val="false"/>
            <w:color w:val="0000ff"/>
            <w:sz w:val="22"/>
            <w:u w:val="single"/>
          </w:rPr>
          <w:t>15.403-4 Requiring certified cost or pricing data (10 U.S.C. 2306a and 41 U.S.C. chapter 35).</w:t>
        </w:r>
      </w:hyperlink>
    </w:p>
    <w:p>
      <w:pPr>
        <w:spacing w:after="0"/>
        <w:jc w:val="left"/>
        <w:ind w:left="1440" w:hanging="360"/>
      </w:pPr>
      <w:hyperlink w:anchor="DLAD_15_404">
        <w:r>
          <w:rPr>
            <w:rStyle w:val="Hyperlink"/>
            <w:rFonts w:ascii="Times New Roman" w:hAnsi="Times New Roman"/>
            <w:b w:val="false"/>
            <w:i w:val="false"/>
            <w:color w:val="0000ff"/>
            <w:sz w:val="22"/>
            <w:u w:val="single"/>
          </w:rPr>
          <w:t>15.404 Proposal analysis.</w:t>
        </w:r>
      </w:hyperlink>
    </w:p>
    <w:p>
      <w:pPr>
        <w:spacing w:after="0"/>
        <w:jc w:val="left"/>
        <w:ind w:left="2160" w:hanging="180"/>
      </w:pPr>
      <w:hyperlink w:anchor="DLAD_15_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LAD_15_405">
        <w:r>
          <w:rPr>
            <w:rStyle w:val="Hyperlink"/>
            <w:rFonts w:ascii="Times New Roman" w:hAnsi="Times New Roman"/>
            <w:b w:val="false"/>
            <w:i w:val="false"/>
            <w:color w:val="0000ff"/>
            <w:sz w:val="22"/>
            <w:u w:val="single"/>
          </w:rPr>
          <w:t>15.405 Price negotiation.</w:t>
        </w:r>
      </w:hyperlink>
    </w:p>
    <w:p>
      <w:pPr>
        <w:spacing w:after="0"/>
        <w:jc w:val="left"/>
        <w:ind w:left="1440" w:hanging="360"/>
      </w:pPr>
      <w:hyperlink w:anchor="DLAD_15_406">
        <w:r>
          <w:rPr>
            <w:rStyle w:val="Hyperlink"/>
            <w:rFonts w:ascii="Times New Roman" w:hAnsi="Times New Roman"/>
            <w:b w:val="false"/>
            <w:i w:val="false"/>
            <w:color w:val="0000ff"/>
            <w:sz w:val="22"/>
            <w:u w:val="single"/>
          </w:rPr>
          <w:t>15.406 Documentation.</w:t>
        </w:r>
      </w:hyperlink>
    </w:p>
    <w:p>
      <w:pPr>
        <w:spacing w:after="0"/>
        <w:jc w:val="left"/>
        <w:ind w:left="2160" w:hanging="180"/>
      </w:pPr>
      <w:hyperlink w:anchor="DLAD_15_406-1">
        <w:r>
          <w:rPr>
            <w:rStyle w:val="Hyperlink"/>
            <w:rFonts w:ascii="Times New Roman" w:hAnsi="Times New Roman"/>
            <w:b w:val="false"/>
            <w:i w:val="false"/>
            <w:color w:val="0000ff"/>
            <w:sz w:val="22"/>
            <w:u w:val="single"/>
          </w:rPr>
          <w:t>15.406-1 Prenegotiation objectives.</w:t>
        </w:r>
      </w:hyperlink>
    </w:p>
    <w:p>
      <w:pPr>
        <w:spacing w:after="0"/>
        <w:jc w:val="left"/>
        <w:ind w:left="2160" w:hanging="180"/>
      </w:pPr>
      <w:hyperlink w:anchor="DLAD_15_406-3">
        <w:r>
          <w:rPr>
            <w:rStyle w:val="Hyperlink"/>
            <w:rFonts w:ascii="Times New Roman" w:hAnsi="Times New Roman"/>
            <w:b w:val="false"/>
            <w:i w:val="false"/>
            <w:color w:val="0000ff"/>
            <w:sz w:val="22"/>
            <w:u w:val="single"/>
          </w:rPr>
          <w:t>15.406-3 Documenting the negotiation.</w:t>
        </w:r>
      </w:hyperlink>
    </w:p>
    <w:p>
      <w:pPr>
        <w:spacing w:after="0"/>
        <w:jc w:val="left"/>
        <w:ind w:left="1440" w:hanging="360"/>
      </w:pPr>
      <w:hyperlink w:anchor="DLAD_15_407-90">
        <w:r>
          <w:rPr>
            <w:rStyle w:val="Hyperlink"/>
            <w:rFonts w:ascii="Times New Roman" w:hAnsi="Times New Roman"/>
            <w:b w:val="false"/>
            <w:i w:val="false"/>
            <w:color w:val="0000ff"/>
            <w:sz w:val="22"/>
            <w:u w:val="single"/>
          </w:rPr>
          <w:t>15.407-90 Reverse Auction.</w:t>
        </w:r>
      </w:hyperlink>
    </w:p>
    <w:p>
      <w:pPr>
        <w:spacing w:after="0"/>
        <w:jc w:val="left"/>
        <w:ind w:left="1440" w:hanging="360"/>
      </w:pPr>
      <w:hyperlink w:anchor="DLAD_15_408">
        <w:r>
          <w:rPr>
            <w:rStyle w:val="Hyperlink"/>
            <w:rFonts w:ascii="Times New Roman" w:hAnsi="Times New Roman"/>
            <w:b w:val="false"/>
            <w:i w:val="false"/>
            <w:color w:val="0000ff"/>
            <w:sz w:val="22"/>
            <w:u w:val="single"/>
          </w:rPr>
          <w:t>15.408 Solicitation provisions and contract clauses.</w:t>
        </w:r>
      </w:hyperlink>
    </w:p>
    <w:p>
      <w:pPr>
        <w:spacing w:after="0"/>
        <w:jc w:val="left"/>
        <w:ind w:left="720" w:hanging="360"/>
      </w:pPr>
      <w:hyperlink w:anchor="DLAD_SUBPART_15_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LAD_15_606">
        <w:r>
          <w:rPr>
            <w:rStyle w:val="Hyperlink"/>
            <w:rFonts w:ascii="Times New Roman" w:hAnsi="Times New Roman"/>
            <w:b w:val="false"/>
            <w:i w:val="false"/>
            <w:color w:val="0000ff"/>
            <w:sz w:val="22"/>
            <w:u w:val="single"/>
          </w:rPr>
          <w:t>15.606 Agency procedures.</w:t>
        </w:r>
      </w:hyperlink>
    </w:p>
    <!-- Created by docx4j 6.1.2 (Apache licensed) using REFERENCE JAXB in Oracle Java 15 on Linux -->
    <w:p>
      <w:pPr>
        <w:pStyle w:val="Heading2"/>
        <w:spacing w:after="180"/>
        <w:ind w:left="120"/>
        <w:jc w:val="center"/>
      </w:pPr>
      <w:bookmarkStart w:name="DLAD_SUBPART_15_3" w:id="1"/>
      <w:r>
        <w:rPr>
          <w:rFonts w:ascii="Times New Roman" w:hAnsi="Times New Roman"/>
          <w:color w:val="000000"/>
          <w:sz w:val="36"/>
        </w:rPr>
        <w:t>Subpart 15.3</w:t>
      </w:r>
      <w:r>
        <w:rPr>
          <w:rFonts w:ascii="Times New Roman" w:hAnsi="Times New Roman"/>
          <w:color w:val="000000"/>
          <w:sz w:val="36"/>
        </w:rPr>
        <w:t xml:space="preserve"> - SOURCE SELECTION</w:t>
      </w:r>
      <w:bookmarkEnd w:id="1"/>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Revised</w:t>
      </w:r>
      <w:r>
        <w:rPr>
          <w:rFonts w:ascii="Times New Roman" w:hAnsi="Times New Roman"/>
          <w:b w:val="false"/>
          <w:i/>
          <w:color w:val="000000"/>
          <w:sz w:val="22"/>
        </w:rPr>
        <w:t>June 9, 2021</w:t>
      </w:r>
      <w:r>
        <w:rPr>
          <w:rFonts w:ascii="Times New Roman" w:hAnsi="Times New Roman"/>
          <w:b w:val="false"/>
          <w:i/>
          <w:color w:val="000000"/>
          <w:sz w:val="22"/>
        </w:rPr>
        <w:t>through PROCLTR 20</w:t>
      </w:r>
      <w:r>
        <w:rPr>
          <w:rFonts w:ascii="Times New Roman" w:hAnsi="Times New Roman"/>
          <w:b w:val="false"/>
          <w:i/>
          <w:color w:val="000000"/>
          <w:sz w:val="22"/>
        </w:rPr>
        <w:t>21-11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303" w:id="2"/>
      <w:r>
        <w:rPr>
          <w:rFonts w:ascii="Times New Roman" w:hAnsi="Times New Roman"/>
          <w:color w:val="000000"/>
          <w:sz w:val="31"/>
        </w:rPr>
        <w:t>15.303</w:t>
      </w:r>
      <w:r>
        <w:rPr>
          <w:rFonts w:ascii="Times New Roman" w:hAnsi="Times New Roman"/>
          <w:color w:val="000000"/>
          <w:sz w:val="31"/>
        </w:rPr>
        <w:t xml:space="preserve">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w:pPr>
        <w:pBdr>
          <w:top w:space="5"/>
          <w:left w:space="5"/>
          <w:bottom w:space="5"/>
          <w:right w:space="5"/>
        </w:pBdr>
        <w:spacing w:after="0"/>
        <w:ind w:left="225"/>
        <w:jc w:val="left"/>
      </w:pPr>
      <w:r>
        <w:rPr>
          <w:rFonts w:ascii="Times New Roman" w:hAnsi="Times New Roman"/>
          <w:b w:val="false"/>
          <w:i w:val="false"/>
          <w:color w:val="000000"/>
          <w:sz w:val="22"/>
        </w:rPr>
        <w:t>(c)(3)(i) Contracting officers shall include procurement note L08 in solicitations when using the Supplier Performance Risk System (SPRS) to evaluate offerors’ past performance for best value source selections valued under $10 million.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L08 Use of Supplier Performance Risk System (SPRS) in Past Performance Evaluations (JUN 2020)</w:t>
      </w:r>
    </w:p>
    <w:p>
      <w:pPr>
        <w:pStyle w:val="Normal"/>
        <w:pBdr>
          <w:top w:space="5"/>
          <w:left w:space="5"/>
          <w:bottom w:space="5"/>
          <w:right w:space="5"/>
        </w:pBdr>
        <w:spacing w:after="0"/>
        <w:ind w:left="225"/>
        <w:jc w:val="left"/>
      </w:pPr>
      <w:r>
        <w:rPr>
          <w:rFonts w:ascii="Times New Roman" w:hAnsi="Times New Roman"/>
          <w:color w:val="000000"/>
        </w:rPr>
        <w:t xml:space="preserve">(1) The Government will use the </w:t>
      </w:r>
      <w:hyperlink r:id="Rf4354561e9734225">
        <w:r>
          <w:rPr>
            <w:rStyle w:val="Hyperlink"/>
            <w:rFonts w:ascii="Times New Roman" w:hAnsi="Times New Roman"/>
            <w:color w:val="0000ff"/>
            <w:u w:val="single"/>
          </w:rPr>
          <w:t/>
        </w:r>
        <w:r>
          <w:rPr>
            <w:rFonts w:ascii="Times New Roman" w:hAnsi="Times New Roman"/>
            <w:color w:val="0000ff"/>
            <w:u w:val="single"/>
          </w:rPr>
          <w:t>Supplier Performance Risk System (SPRS)</w:t>
        </w:r>
      </w:hyperlink>
      <w:r>
        <w:rPr>
          <w:rFonts w:ascii="Times New Roman" w:hAnsi="Times New Roman"/>
          <w:color w:val="000000"/>
          <w:u w:val="single"/>
        </w:rPr>
        <w:t>(</w:t>
      </w:r>
      <w:hyperlink r:id="R6f8af72b34ec4338">
        <w:r>
          <w:rPr>
            <w:rStyle w:val="Hyperlink"/>
            <w:rFonts w:ascii="Times New Roman" w:hAnsi="Times New Roman"/>
            <w:color w:val="0000ff"/>
            <w:u w:val="single"/>
          </w:rPr>
          <w:t/>
        </w:r>
        <w:r>
          <w:rPr>
            <w:rFonts w:ascii="Times New Roman" w:hAnsi="Times New Roman"/>
            <w:color w:val="0000ff"/>
            <w:u w:val="single"/>
          </w:rPr>
          <w:t>https://www.sprs.csd.disa.mil/</w:t>
        </w:r>
      </w:hyperlink>
      <w:r>
        <w:rPr>
          <w:rFonts w:ascii="Times New Roman" w:hAnsi="Times New Roman"/>
          <w:color w:val="000000"/>
          <w:u w:val="single"/>
        </w:rPr>
        <w:t>)</w:t>
      </w:r>
      <w:r>
        <w:rPr>
          <w:rFonts w:ascii="Times New Roman" w:hAnsi="Times New Roman"/>
          <w:color w:val="000000"/>
        </w:rPr>
        <w:t xml:space="preserve"> (formerly Past Performance Information Retrieval System – Statistical Reporting (PPIRS-SR)) to evaluate suppliers’ past performance.</w:t>
      </w:r>
    </w:p>
    <w:p>
      <w:pPr>
        <w:pStyle w:val="Normal"/>
        <w:pBdr>
          <w:top w:space="5"/>
          <w:left w:space="5"/>
          <w:bottom w:space="5"/>
          <w:right w:space="5"/>
        </w:pBdr>
        <w:spacing w:after="0"/>
        <w:ind w:left="225"/>
        <w:jc w:val="left"/>
      </w:pPr>
      <w:r>
        <w:rPr>
          <w:rFonts w:ascii="Times New Roman" w:hAnsi="Times New Roman"/>
          <w:color w:val="000000"/>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w:pPr>
        <w:pStyle w:val="Normal"/>
        <w:pBdr>
          <w:top w:space="5"/>
          <w:left w:space="5"/>
          <w:bottom w:space="5"/>
          <w:right w:space="5"/>
        </w:pBdr>
        <w:spacing w:after="0"/>
        <w:ind w:left="225"/>
        <w:jc w:val="left"/>
      </w:pPr>
      <w:r>
        <w:rPr>
          <w:rFonts w:ascii="Times New Roman" w:hAnsi="Times New Roman"/>
          <w:color w:val="000000"/>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pPr>
        <w:pStyle w:val="Normal"/>
        <w:pBdr>
          <w:top w:space="5"/>
          <w:left w:space="5"/>
          <w:bottom w:space="5"/>
          <w:right w:space="5"/>
        </w:pBdr>
        <w:spacing w:after="0"/>
        <w:ind w:left="225"/>
        <w:jc w:val="left"/>
      </w:pPr>
      <w:r>
        <w:rPr>
          <w:rFonts w:ascii="Times New Roman" w:hAnsi="Times New Roman"/>
          <w:color w:val="000000"/>
        </w:rPr>
        <w:t xml:space="preserve">(4) SPRS generates classifications daily for each contractor. The </w:t>
      </w:r>
      <w:hyperlink r:id="Ree481f7be8434675">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80ce55dbb07b472d">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941d75b2990246dd">
        <w:r>
          <w:rPr>
            <w:rStyle w:val="Hyperlink"/>
            <w:rFonts w:ascii="Times New Roman" w:hAnsi="Times New Roman"/>
            <w:color w:val="0000ff"/>
            <w:u w:val="single"/>
          </w:rPr>
          <w:t/>
        </w:r>
        <w:r>
          <w:rPr>
            <w:rFonts w:ascii="Times New Roman" w:hAnsi="Times New Roman"/>
            <w:color w:val="0000ff"/>
            <w:u w:val="single"/>
          </w:rPr>
          <w:t>SPRS Government User Guide</w:t>
        </w:r>
      </w:hyperlink>
      <w:r>
        <w:rPr>
          <w:rFonts w:ascii="Times New Roman" w:hAnsi="Times New Roman"/>
          <w:color w:val="000000"/>
        </w:rPr>
        <w:t xml:space="preserve"> (</w:t>
      </w:r>
      <w:hyperlink r:id="R583a5bd25aac4b45">
        <w:r>
          <w:rPr>
            <w:rStyle w:val="Hyperlink"/>
            <w:rFonts w:ascii="Times New Roman" w:hAnsi="Times New Roman"/>
            <w:color w:val="0000ff"/>
            <w:u w:val="single"/>
          </w:rPr>
          <w:t/>
        </w:r>
        <w:r>
          <w:rPr>
            <w:rFonts w:ascii="Times New Roman" w:hAnsi="Times New Roman"/>
            <w:color w:val="0000ff"/>
            <w:u w:val="single"/>
          </w:rPr>
          <w:t>https://www.sprs.csd.disa.mil/pdf/SPRS_Government.pdf</w:t>
        </w:r>
      </w:hyperlink>
      <w:r>
        <w:rPr>
          <w:rFonts w:ascii="Times New Roman" w:hAnsi="Times New Roman"/>
          <w:color w:val="000000"/>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df8e2d1340b0430f">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e0d83cdc6e7c4783">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f62c11b23b474d39">
        <w:r>
          <w:rPr>
            <w:rStyle w:val="Hyperlink"/>
            <w:rFonts w:ascii="Times New Roman" w:hAnsi="Times New Roman"/>
            <w:color w:val="0000ff"/>
            <w:u w:val="single"/>
          </w:rPr>
          <w:t/>
        </w:r>
        <w:r>
          <w:rPr>
            <w:rFonts w:ascii="Times New Roman" w:hAnsi="Times New Roman"/>
            <w:color w:val="0000ff"/>
            <w:u w:val="single"/>
          </w:rPr>
          <w:t>SPRS Evaluation Criteria</w:t>
        </w:r>
      </w:hyperlink>
      <w:r>
        <w:rPr>
          <w:rFonts w:ascii="Times New Roman" w:hAnsi="Times New Roman"/>
          <w:color w:val="000000"/>
          <w:u w:val="single"/>
        </w:rPr>
        <w:t>(</w:t>
      </w:r>
      <w:hyperlink r:id="R73366b69ce894e5a">
        <w:r>
          <w:rPr>
            <w:rStyle w:val="Hyperlink"/>
            <w:rFonts w:ascii="Times New Roman" w:hAnsi="Times New Roman"/>
            <w:color w:val="0000ff"/>
            <w:u w:val="single"/>
          </w:rPr>
          <w:t/>
        </w:r>
        <w:r>
          <w:rPr>
            <w:rFonts w:ascii="Times New Roman" w:hAnsi="Times New Roman"/>
            <w:color w:val="0000ff"/>
            <w:u w:val="single"/>
          </w:rPr>
          <w:t>https://www.sprs.csd.disa.mil/pdf/SPRS_DataEvaluationCriteria.pdf</w:t>
        </w:r>
      </w:hyperlink>
      <w:r>
        <w:rPr>
          <w:rFonts w:ascii="Times New Roman" w:hAnsi="Times New Roman"/>
          <w:color w:val="000000"/>
        </w:rPr>
        <w:t xml:space="preserve">). The </w:t>
      </w:r>
      <w:hyperlink r:id="Ref524b7654b7477f">
        <w:r>
          <w:rPr>
            <w:rStyle w:val="Hyperlink"/>
            <w:rFonts w:ascii="Times New Roman" w:hAnsi="Times New Roman"/>
            <w:color w:val="0000ff"/>
            <w:u w:val="single"/>
          </w:rPr>
          <w:t/>
        </w:r>
        <w:r>
          <w:rPr>
            <w:rFonts w:ascii="Times New Roman" w:hAnsi="Times New Roman"/>
            <w:color w:val="0000ff"/>
            <w:u w:val="single"/>
          </w:rPr>
          <w:t>SPRS Software User's Guide for</w:t>
        </w:r>
        <w:r>
          <w:rPr>
            <w:rFonts w:ascii="Times New Roman" w:hAnsi="Times New Roman"/>
            <w:color w:val="0000ff"/>
            <w:u w:val="single"/>
          </w:rPr>
          <w:t xml:space="preserve"> </w:t>
        </w:r>
        <w:r>
          <w:rPr>
            <w:rFonts w:ascii="Times New Roman" w:hAnsi="Times New Roman"/>
            <w:color w:val="0000ff"/>
            <w:u w:val="single"/>
          </w:rPr>
          <w:t>Awardees/Contractors</w:t>
        </w:r>
      </w:hyperlink>
      <w:r>
        <w:rPr>
          <w:rFonts w:ascii="Times New Roman" w:hAnsi="Times New Roman"/>
          <w:color w:val="000000"/>
          <w:u w:val="single"/>
        </w:rPr>
        <w:t>(</w:t>
      </w:r>
      <w:hyperlink r:id="R24ac184ad8b14491">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provides the method to challenge a rating generated by SPRS.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5_4" w:id="3"/>
      <w:r>
        <w:rPr>
          <w:rFonts w:ascii="Times New Roman" w:hAnsi="Times New Roman"/>
          <w:color w:val="000000"/>
          <w:sz w:val="36"/>
        </w:rPr>
        <w:t>Subpart 15.4</w:t>
      </w:r>
      <w:r>
        <w:rPr>
          <w:rFonts w:ascii="Times New Roman" w:hAnsi="Times New Roman"/>
          <w:color w:val="000000"/>
          <w:sz w:val="36"/>
        </w:rPr>
        <w:t xml:space="preserve"> - CONTRACT PRICING</w:t>
      </w:r>
      <w:bookmarkEnd w:id="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20-18</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402" w:id="4"/>
      <w:r>
        <w:rPr>
          <w:rFonts w:ascii="Times New Roman" w:hAnsi="Times New Roman"/>
          <w:color w:val="000000"/>
          <w:sz w:val="31"/>
        </w:rPr>
        <w:t>15.402</w:t>
      </w:r>
      <w:r>
        <w:rPr>
          <w:rFonts w:ascii="Times New Roman" w:hAnsi="Times New Roman"/>
          <w:color w:val="000000"/>
          <w:sz w:val="31"/>
        </w:rPr>
        <w:t xml:space="preserve"> Pricing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r>
        <w:rPr>
          <w:rFonts w:ascii="Times New Roman" w:hAnsi="Times New Roman"/>
          <w:b w:val="false"/>
          <w:i w:val="false"/>
          <w:color w:val="000000"/>
          <w:sz w:val="22"/>
        </w:rPr>
        <w:t>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w:pPr>
        <w:pBdr>
          <w:top w:space="5"/>
          <w:left w:space="5"/>
          <w:bottom w:space="5"/>
          <w:right w:space="5"/>
        </w:pBdr>
        <w:spacing w:after="0"/>
        <w:ind w:left="945"/>
        <w:jc w:val="left"/>
      </w:pPr>
      <w:r>
        <w:rPr>
          <w:rFonts w:ascii="Times New Roman" w:hAnsi="Times New Roman"/>
          <w:b w:val="false"/>
          <w:i w:val="false"/>
          <w:color w:val="000000"/>
          <w:sz w:val="22"/>
        </w:rPr>
        <w:t>(i) Pricing Model: Fixed price using distribution and pricing agreement (DAPA) and Federal Supply Schedule (FSS) pricing.</w:t>
      </w:r>
    </w:p>
    <w:p>
      <w:pPr>
        <w:pStyle w:val="Normal"/>
        <w:pBdr>
          <w:top w:space="5"/>
          <w:left w:space="5"/>
          <w:bottom w:space="5"/>
          <w:right w:space="5"/>
        </w:pBdr>
        <w:spacing w:after="0"/>
        <w:ind w:left="225"/>
        <w:jc w:val="left"/>
      </w:pPr>
      <w:r>
        <w:rPr>
          <w:rFonts w:ascii="Times New Roman" w:hAnsi="Times New Roman"/>
          <w:color w:val="000000"/>
        </w:rPr>
        <w:t>(A) Program Example: Medical/Surgical and Pharmaceutical.</w:t>
      </w:r>
    </w:p>
    <w:p>
      <w:pPr>
        <w:pStyle w:val="Normal"/>
        <w:pBdr>
          <w:top w:space="5"/>
          <w:left w:space="5"/>
          <w:bottom w:space="5"/>
          <w:right w:space="5"/>
        </w:pBdr>
        <w:spacing w:after="0"/>
        <w:ind w:left="225"/>
        <w:jc w:val="left"/>
      </w:pPr>
      <w:r>
        <w:rPr>
          <w:rFonts w:ascii="Times New Roman" w:hAnsi="Times New Roman"/>
          <w:color w:val="000000"/>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(C) Post-Award Price Reasonableness Determination: New items and price changes after award.</w:t>
      </w:r>
    </w:p>
    <w:p>
      <w:pPr>
        <w:pBdr>
          <w:top w:space="5"/>
          <w:left w:space="5"/>
          <w:bottom w:space="5"/>
          <w:right w:space="5"/>
        </w:pBdr>
        <w:spacing w:after="0"/>
        <w:ind w:left="945"/>
        <w:jc w:val="left"/>
      </w:pPr>
      <w:r>
        <w:rPr>
          <w:rFonts w:ascii="Times New Roman" w:hAnsi="Times New Roman"/>
          <w:b w:val="false"/>
          <w:i w:val="false"/>
          <w:color w:val="000000"/>
          <w:sz w:val="22"/>
        </w:rPr>
        <w:t>(ii) Pricing Model: Fixed price using market basket.</w:t>
      </w:r>
    </w:p>
    <w:p>
      <w:pPr>
        <w:pBdr>
          <w:top w:space="5"/>
          <w:left w:space="5"/>
          <w:bottom w:space="5"/>
          <w:right w:space="5"/>
        </w:pBdr>
        <w:spacing w:after="0"/>
        <w:ind w:left="1305"/>
        <w:jc w:val="left"/>
      </w:pPr>
      <w:r>
        <w:rPr>
          <w:rFonts w:ascii="Times New Roman" w:hAnsi="Times New Roman"/>
          <w:b w:val="false"/>
          <w:i w:val="false"/>
          <w:color w:val="000000"/>
          <w:sz w:val="22"/>
        </w:rPr>
        <w:t>(A) Program Example: Subsistence CONUS and OCONUS.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before adding to the catalog.</w:t>
      </w:r>
    </w:p>
    <w:p>
      <w:pPr>
        <w:pBdr>
          <w:top w:space="5"/>
          <w:left w:space="5"/>
          <w:bottom w:space="5"/>
          <w:right w:space="5"/>
        </w:pBdr>
        <w:spacing w:after="0"/>
        <w:ind w:left="945"/>
        <w:jc w:val="left"/>
      </w:pPr>
      <w:r>
        <w:rPr>
          <w:rFonts w:ascii="Times New Roman" w:hAnsi="Times New Roman"/>
          <w:b w:val="false"/>
          <w:i w:val="false"/>
          <w:color w:val="000000"/>
          <w:sz w:val="22"/>
        </w:rPr>
        <w:t>(iii)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For line items below the micro- purchase threshold, a representative statistical sampling of lines meeting a 90% confidence level and a 10% error rate, determination is by 60 days after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For line items with an extended value greater than or equal to the micro-purchase threshold and less than $10,000, at least 30% determined before award and the balance by 60 days after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For line items with an extended value greater than or equal to $10,000, determination is for each item before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Determination made for each item added or price change post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Determination made for 100% of incidental services.</w:t>
      </w:r>
    </w:p>
    <w:p>
      <w:pPr>
        <w:pBdr>
          <w:top w:space="5"/>
          <w:left w:space="5"/>
          <w:bottom w:space="5"/>
          <w:right w:space="5"/>
        </w:pBdr>
        <w:spacing w:after="0"/>
        <w:ind w:left="945"/>
        <w:jc w:val="left"/>
      </w:pPr>
      <w:r>
        <w:rPr>
          <w:rFonts w:ascii="Times New Roman" w:hAnsi="Times New Roman"/>
          <w:b w:val="false"/>
          <w:i w:val="false"/>
          <w:color w:val="000000"/>
          <w:sz w:val="22"/>
        </w:rPr>
        <w:t>(iv)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Metals.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 Pricing Model: Multiple award, fixed price using price evaluation list and competition of each order.</w:t>
      </w:r>
    </w:p>
    <w:p>
      <w:pPr>
        <w:pBdr>
          <w:top w:space="5"/>
          <w:left w:space="5"/>
          <w:bottom w:space="5"/>
          <w:right w:space="5"/>
        </w:pBdr>
        <w:spacing w:after="0"/>
        <w:ind w:left="1305"/>
        <w:jc w:val="left"/>
      </w:pPr>
      <w:r>
        <w:rPr>
          <w:rFonts w:ascii="Times New Roman" w:hAnsi="Times New Roman"/>
          <w:b w:val="false"/>
          <w:i w:val="false"/>
          <w:color w:val="000000"/>
          <w:sz w:val="22"/>
        </w:rPr>
        <w:t>(A) Program Example: Special Operations Equipment, MRO Supplies (CENTCOM), Fire Fighting and Emergency Services Equipment, Wood Products.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w:t>
      </w:r>
    </w:p>
    <w:p>
      <w:pPr>
        <w:pStyle w:val="Normal"/>
        <w:pBdr>
          <w:top w:space="5"/>
          <w:left w:space="5"/>
          <w:bottom w:space="5"/>
          <w:right w:space="5"/>
        </w:pBdr>
        <w:spacing w:after="0"/>
        <w:ind w:left="225"/>
        <w:jc w:val="left"/>
      </w:pPr>
      <w:r>
        <w:rPr>
          <w:rFonts w:ascii="Times New Roman" w:hAnsi="Times New Roman"/>
          <w:color w:val="000000"/>
        </w:rPr>
        <w:t>The contracting officer provides fair opportunity to compete for orders to all contract holders under FAR 16.505 (b).</w:t>
      </w:r>
    </w:p>
    <w:p>
      <w:pPr>
        <w:pBdr>
          <w:top w:space="5"/>
          <w:left w:space="5"/>
          <w:bottom w:space="5"/>
          <w:right w:space="5"/>
        </w:pBdr>
        <w:spacing w:after="0"/>
        <w:ind w:left="945"/>
        <w:jc w:val="left"/>
      </w:pPr>
      <w:r>
        <w:rPr>
          <w:rFonts w:ascii="Times New Roman" w:hAnsi="Times New Roman"/>
          <w:b w:val="false"/>
          <w:i w:val="false"/>
          <w:color w:val="000000"/>
          <w:sz w:val="22"/>
        </w:rPr>
        <w:t>(vi)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(vii)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e.g. integrated prime vendor (IPV).</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 All requirements identified must be in the Core List. Only items on the Core List may be ordered.</w:t>
      </w:r>
    </w:p>
    <!-- Created by docx4j 6.1.2 (Apache licensed) using REFERENCE JAXB in Oracle Java 15 on Linux -->
    <w:p>
      <w:pPr>
        <w:pStyle w:val="Heading3"/>
        <w:spacing w:after="199"/>
        <w:ind w:left="120"/>
        <w:jc w:val="left"/>
      </w:pPr>
      <w:bookmarkStart w:name="DLAD_15_403" w:id="5"/>
      <w:r>
        <w:rPr>
          <w:rFonts w:ascii="Times New Roman" w:hAnsi="Times New Roman"/>
          <w:color w:val="000000"/>
          <w:sz w:val="31"/>
        </w:rPr>
        <w:t>15.403</w:t>
      </w:r>
      <w:r>
        <w:rPr>
          <w:rFonts w:ascii="Times New Roman" w:hAnsi="Times New Roman"/>
          <w:color w:val="000000"/>
          <w:sz w:val="31"/>
        </w:rPr>
        <w:t xml:space="preserve"> Obtaining certified cost or pricing data.</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3-1" w:id="6"/>
      <w:r>
        <w:rPr>
          <w:rFonts w:ascii="Times New Roman" w:hAnsi="Times New Roman"/>
          <w:i w:val="false"/>
          <w:color w:val="000000"/>
          <w:sz w:val="31"/>
        </w:rPr>
        <w:t>15.403-1</w:t>
      </w:r>
      <w:r>
        <w:rPr>
          <w:rFonts w:ascii="Times New Roman" w:hAnsi="Times New Roman"/>
          <w:i w:val="false"/>
          <w:color w:val="000000"/>
          <w:sz w:val="31"/>
        </w:rPr>
        <w:t xml:space="preserve"> Prohibition on obtaining certified cost or pricing data (10 U.S.C. 2306a and 41 U.S.C. chapter 35)</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(3) Commercial items.</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585"/>
        <w:jc w:val="left"/>
      </w:pPr>
      <w:r>
        <w:rPr>
          <w:rFonts w:ascii="Times New Roman" w:hAnsi="Times New Roman"/>
          <w:b w:val="false"/>
          <w:i w:val="false"/>
          <w:color w:val="000000"/>
          <w:sz w:val="22"/>
        </w:rPr>
        <w:t>(4) Waivers. HCAs submit exceptional case TINA waivers for procurements that exceed $100 million to the Contract and Pricing Compliance Division for SPE coordination.</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must initiate discussions with CCC to request confirmation of the price reasonableness determination when price analysis indicates a significantly different price from CCC. Provide price analysis results in request to CCC.</w:t>
      </w:r>
    </w:p>
    <!-- Created by docx4j 6.1.2 (Apache licensed) using REFERENCE JAXB in Oracle Java 15 on Linux -->
    <w:p>
      <w:pPr>
        <w:pStyle w:val="Heading4"/>
        <w:spacing w:after="269"/>
        <w:ind w:left="120"/>
        <w:jc w:val="left"/>
      </w:pPr>
      <w:bookmarkStart w:name="DLAD_15_403-3" w:id="7"/>
      <w:r>
        <w:rPr>
          <w:rFonts w:ascii="Times New Roman" w:hAnsi="Times New Roman"/>
          <w:i w:val="false"/>
          <w:color w:val="000000"/>
          <w:sz w:val="31"/>
        </w:rPr>
        <w:t>15.403-3</w:t>
      </w:r>
      <w:r>
        <w:rPr>
          <w:rFonts w:ascii="Times New Roman" w:hAnsi="Times New Roman"/>
          <w:i w:val="false"/>
          <w:color w:val="000000"/>
          <w:sz w:val="31"/>
        </w:rPr>
        <w:t xml:space="preserve"> Requiring data other than cost or pricing data.</w:t>
      </w:r>
      <w:bookmarkEnd w:id="7"/>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(4) The HCA’s authority is not delegable.</w:t>
      </w:r>
    </w:p>
    <!-- Created by docx4j 6.1.2 (Apache licensed) using REFERENCE JAXB in Oracle Java 15 on Linux -->
    <w:p>
      <w:pPr>
        <w:pStyle w:val="Heading4"/>
        <w:spacing w:after="269"/>
        <w:ind w:left="120"/>
        <w:jc w:val="left"/>
      </w:pPr>
      <w:bookmarkStart w:name="DLAD_15_403-4" w:id="8"/>
      <w:r>
        <w:rPr>
          <w:rFonts w:ascii="Times New Roman" w:hAnsi="Times New Roman"/>
          <w:i w:val="false"/>
          <w:color w:val="000000"/>
          <w:sz w:val="31"/>
        </w:rPr>
        <w:t>15.403-4</w:t>
      </w:r>
      <w:r>
        <w:rPr>
          <w:rFonts w:ascii="Times New Roman" w:hAnsi="Times New Roman"/>
          <w:i w:val="false"/>
          <w:color w:val="000000"/>
          <w:sz w:val="31"/>
        </w:rPr>
        <w:t xml:space="preserve"> Requiring certified cost or pricing data (10 U.S.C. 2306a and 41 U.S.C. chapter 35).</w:t>
      </w:r>
      <w:bookmarkEnd w:id="8"/>
    </w:p>
    <w:p>
      <w:pPr>
        <w:pBdr>
          <w:top w:space="5"/>
          <w:left w:space="5"/>
          <w:bottom w:space="5"/>
          <w:right w:space="5"/>
        </w:pBdr>
        <w:spacing w:after="0"/>
        <w:ind w:left="225"/>
        <w:jc w:val="left"/>
      </w:pPr>
      <w:r>
        <w:rPr>
          <w:rFonts w:ascii="Times New Roman" w:hAnsi="Times New Roman"/>
          <w:b w:val="false"/>
          <w:i w:val="false"/>
          <w:color w:val="000000"/>
          <w:sz w:val="22"/>
        </w:rPr>
        <w:t>(a)(1) The threshold applies to the contract value as defined in FAR 1.108(c).</w:t>
      </w:r>
    </w:p>
    <w:p>
      <w:pPr>
        <w:pBdr>
          <w:top w:space="5"/>
          <w:left w:space="5"/>
          <w:bottom w:space="5"/>
          <w:right w:space="5"/>
        </w:pBdr>
        <w:spacing w:after="0"/>
        <w:ind w:left="225"/>
        <w:jc w:val="left"/>
      </w:pPr>
      <w:r>
        <w:rPr>
          <w:rFonts w:ascii="Times New Roman" w:hAnsi="Times New Roman"/>
          <w:b w:val="false"/>
          <w:i w:val="false"/>
          <w:color w:val="000000"/>
          <w:sz w:val="22"/>
        </w:rPr>
        <w:t>(b)(1) Section 890 Pilot Program to Accelerate Contracting and Pricing Processes (Class</w:t>
      </w:r>
    </w:p>
    <w:p>
      <w:pPr>
        <w:pStyle w:val="Normal"/>
        <w:pBdr>
          <w:top w:space="5"/>
          <w:left w:space="5"/>
          <w:bottom w:space="5"/>
          <w:right w:space="5"/>
        </w:pBdr>
        <w:spacing w:after="0"/>
        <w:ind w:left="225"/>
        <w:jc w:val="left"/>
      </w:pPr>
      <w:r>
        <w:rPr>
          <w:rFonts w:ascii="Times New Roman" w:hAnsi="Times New Roman"/>
          <w:color w:val="000000"/>
        </w:rPr>
        <w:t>Deviation 2020-O0020). The current deviation is (</w:t>
      </w:r>
      <w:hyperlink r:id="R333ea6c50fd1486d">
        <w:r>
          <w:rPr>
            <w:rStyle w:val="Hyperlink"/>
            <w:rFonts w:ascii="Times New Roman" w:hAnsi="Times New Roman"/>
            <w:color w:val="0000ff"/>
            <w:u w:val="single"/>
          </w:rPr>
          <w:t/>
        </w:r>
        <w:r>
          <w:rPr>
            <w:rFonts w:ascii="Times New Roman" w:hAnsi="Times New Roman"/>
            <w:color w:val="0000ff"/>
            <w:u w:val="single"/>
          </w:rPr>
          <w:t>Class Deviation 2020-O0020, Section 890 Pilot Program to Accelerate Contracting and Processes</w:t>
        </w:r>
      </w:hyperlink>
      <w:r>
        <w:rPr>
          <w:rFonts w:ascii="Times New Roman" w:hAnsi="Times New Roman"/>
          <w:color w:val="000000"/>
        </w:rPr>
        <w:t xml:space="preserve"> (</w:t>
      </w:r>
      <w:hyperlink r:id="R5928c3ab2d1d423f">
        <w:r>
          <w:rPr>
            <w:rStyle w:val="Hyperlink"/>
            <w:rFonts w:ascii="Times New Roman" w:hAnsi="Times New Roman"/>
            <w:color w:val="0000ff"/>
            <w:u w:val="single"/>
          </w:rPr>
          <w:t/>
        </w:r>
        <w:r>
          <w:rPr>
            <w:rFonts w:ascii="Times New Roman" w:hAnsi="Times New Roman"/>
            <w:color w:val="0000ff"/>
            <w:u w:val="single"/>
          </w:rPr>
          <w:t>https://www.acq.osd.mil/dpap/policy/policyvault/USA001700-20-DPC.pdf</w:t>
        </w:r>
      </w:hyperlink>
      <w:r>
        <w:rPr>
          <w:rFonts w:ascii="Times New Roman" w:hAnsi="Times New Roman"/>
          <w:color w:val="000000"/>
        </w:rPr>
        <w:t xml:space="preserve">), and is available for procurements over $50 million. To request approval for an acquisition to be included in the pilot program, procuring organizations shall complete the </w:t>
      </w:r>
      <w:hyperlink r:id="Reec6b4e6102e4776">
        <w:r>
          <w:rPr>
            <w:rStyle w:val="Hyperlink"/>
            <w:rFonts w:ascii="Times New Roman" w:hAnsi="Times New Roman"/>
            <w:color w:val="0000ff"/>
            <w:u w:val="single"/>
          </w:rPr>
          <w:t/>
        </w:r>
        <w:r>
          <w:rPr>
            <w:rFonts w:ascii="Times New Roman" w:hAnsi="Times New Roman"/>
            <w:color w:val="0000ff"/>
            <w:u w:val="single"/>
          </w:rPr>
          <w:t>Application to Participate in Pilot Program Authorized Under Sec 890 of FY19 NDAA, As Amended by Sec 825 of FY20 NDAA, for Contract Actions Exceeding $50 Million</w:t>
        </w:r>
      </w:hyperlink>
      <w:r>
        <w:rPr>
          <w:rFonts w:ascii="Times New Roman" w:hAnsi="Times New Roman"/>
          <w:color w:val="000000"/>
        </w:rPr>
        <w:t xml:space="preserve"> (</w:t>
      </w:r>
      <w:hyperlink r:id="R92e932a1e4134e3f">
        <w:r>
          <w:rPr>
            <w:rStyle w:val="Hyperlink"/>
            <w:rFonts w:ascii="Times New Roman" w:hAnsi="Times New Roman"/>
            <w:color w:val="0000ff"/>
            <w:u w:val="single"/>
          </w:rPr>
          <w:t/>
        </w:r>
        <w:r>
          <w:rPr>
            <w:rFonts w:ascii="Times New Roman" w:hAnsi="Times New Roman"/>
            <w:color w:val="0000ff"/>
            <w:u w:val="single"/>
          </w:rPr>
          <w:t>https://www.dla.mil/Portals/104/Documents/J7Acquisition/DPC_Application_Form_Sec-890_Pilot_Program.docx</w:t>
        </w:r>
      </w:hyperlink>
      <w:r>
        <w:rPr>
          <w:rFonts w:ascii="Times New Roman" w:hAnsi="Times New Roman"/>
          <w:color w:val="000000"/>
        </w:rPr>
        <w:t>) and submit it to the DLA Acquisition Compliance, Policy and</w:t>
      </w:r>
    </w:p>
    <w:p>
      <w:pPr>
        <w:pStyle w:val="Normal"/>
        <w:pBdr>
          <w:top w:space="5"/>
          <w:left w:space="5"/>
          <w:bottom w:space="5"/>
          <w:right w:space="5"/>
        </w:pBdr>
        <w:spacing w:after="0"/>
        <w:ind w:left="225"/>
        <w:jc w:val="left"/>
      </w:pPr>
      <w:r>
        <w:rPr>
          <w:rFonts w:ascii="Times New Roman" w:hAnsi="Times New Roman"/>
          <w:color w:val="000000"/>
        </w:rPr>
        <w:t>Pricing Division for review by the Pricing PM; who will review the application and, if</w:t>
      </w:r>
    </w:p>
    <w:p>
      <w:pPr>
        <w:pStyle w:val="Normal"/>
        <w:pBdr>
          <w:top w:space="5"/>
          <w:left w:space="5"/>
          <w:bottom w:space="5"/>
          <w:right w:space="5"/>
        </w:pBdr>
        <w:spacing w:after="0"/>
        <w:ind w:left="225"/>
        <w:jc w:val="left"/>
      </w:pPr>
      <w:r>
        <w:rPr>
          <w:rFonts w:ascii="Times New Roman" w:hAnsi="Times New Roman"/>
          <w:color w:val="000000"/>
        </w:rPr>
        <w:t>found adequate, submit it to the Director, DPC/PCF. DPC will contact the contracting</w:t>
      </w:r>
    </w:p>
    <w:p>
      <w:pPr>
        <w:pStyle w:val="Normal"/>
        <w:pBdr>
          <w:top w:space="5"/>
          <w:left w:space="5"/>
          <w:bottom w:space="5"/>
          <w:right w:space="5"/>
        </w:pBdr>
        <w:spacing w:after="0"/>
        <w:ind w:left="225"/>
        <w:jc w:val="left"/>
      </w:pPr>
      <w:r>
        <w:rPr>
          <w:rFonts w:ascii="Times New Roman" w:hAnsi="Times New Roman"/>
          <w:color w:val="000000"/>
        </w:rPr>
        <w:t>officer to schedule a meeting to discuss the details of the acquisition and determine if the</w:t>
      </w:r>
    </w:p>
    <w:p>
      <w:pPr>
        <w:pStyle w:val="Normal"/>
        <w:pBdr>
          <w:top w:space="5"/>
          <w:left w:space="5"/>
          <w:bottom w:space="5"/>
          <w:right w:space="5"/>
        </w:pBdr>
        <w:spacing w:after="0"/>
        <w:ind w:left="225"/>
        <w:jc w:val="left"/>
      </w:pPr>
      <w:r>
        <w:rPr>
          <w:rFonts w:ascii="Times New Roman" w:hAnsi="Times New Roman"/>
          <w:color w:val="000000"/>
        </w:rPr>
        <w:t>action will be accepted into the pilot program.</w:t>
      </w:r>
    </w:p>
    <!-- Created by docx4j 6.1.2 (Apache licensed) using REFERENCE JAXB in Oracle Java 15 on Linux -->
    <w:p>
      <w:pPr>
        <w:pStyle w:val="Heading3"/>
        <w:spacing w:after="199"/>
        <w:ind w:left="120"/>
        <w:jc w:val="left"/>
      </w:pPr>
      <w:bookmarkStart w:name="DLAD_15_404" w:id="9"/>
      <w:r>
        <w:rPr>
          <w:rFonts w:ascii="Times New Roman" w:hAnsi="Times New Roman"/>
          <w:color w:val="000000"/>
          <w:sz w:val="31"/>
        </w:rPr>
        <w:t>15.404</w:t>
      </w:r>
      <w:r>
        <w:rPr>
          <w:rFonts w:ascii="Times New Roman" w:hAnsi="Times New Roman"/>
          <w:color w:val="000000"/>
          <w:sz w:val="31"/>
        </w:rPr>
        <w:t xml:space="preserve"> Proposal analysis.</w:t>
      </w:r>
      <w:bookmarkEnd w:id="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4-1" w:id="10"/>
      <w:r>
        <w:rPr>
          <w:rFonts w:ascii="Times New Roman" w:hAnsi="Times New Roman"/>
          <w:i w:val="false"/>
          <w:color w:val="000000"/>
          <w:sz w:val="31"/>
        </w:rPr>
        <w:t>15.404-1</w:t>
      </w:r>
      <w:r>
        <w:rPr>
          <w:rFonts w:ascii="Times New Roman" w:hAnsi="Times New Roman"/>
          <w:i w:val="false"/>
          <w:color w:val="000000"/>
          <w:sz w:val="31"/>
        </w:rPr>
        <w:t xml:space="preserve"> Proposal analysis techniques.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(5)(S-90) For non-competitive actions exceeding $1 million, the contracting officer shall query the Contractor Business Analysis Repository (CBAR) for:</w:t>
      </w:r>
    </w:p>
    <w:p>
      <w:pPr>
        <w:pBdr>
          <w:top w:space="5"/>
          <w:left w:space="5"/>
          <w:bottom w:space="5"/>
          <w:right w:space="5"/>
        </w:pBdr>
        <w:spacing w:after="0"/>
        <w:ind w:left="1305"/>
        <w:jc w:val="left"/>
      </w:pPr>
      <w:r>
        <w:rPr>
          <w:rFonts w:ascii="Times New Roman" w:hAnsi="Times New Roman"/>
          <w:b w:val="false"/>
          <w:i w:val="false"/>
          <w:color w:val="000000"/>
          <w:sz w:val="22"/>
        </w:rPr>
        <w:t>(A) Indirect and Direct rates,</w:t>
      </w:r>
    </w:p>
    <w:p>
      <w:pPr>
        <w:pBdr>
          <w:top w:space="5"/>
          <w:left w:space="5"/>
          <w:bottom w:space="5"/>
          <w:right w:space="5"/>
        </w:pBdr>
        <w:spacing w:after="0"/>
        <w:ind w:left="1305"/>
        <w:jc w:val="left"/>
      </w:pPr>
      <w:r>
        <w:rPr>
          <w:rFonts w:ascii="Times New Roman" w:hAnsi="Times New Roman"/>
          <w:b w:val="false"/>
          <w:i w:val="false"/>
          <w:color w:val="000000"/>
          <w:sz w:val="22"/>
        </w:rPr>
        <w:t>(B) Status of Business Systems and withholds,</w:t>
      </w:r>
    </w:p>
    <w:p>
      <w:pPr>
        <w:pBdr>
          <w:top w:space="5"/>
          <w:left w:space="5"/>
          <w:bottom w:space="5"/>
          <w:right w:space="5"/>
        </w:pBdr>
        <w:spacing w:after="0"/>
        <w:ind w:left="1305"/>
        <w:jc w:val="left"/>
      </w:pPr>
      <w:r>
        <w:rPr>
          <w:rFonts w:ascii="Times New Roman" w:hAnsi="Times New Roman"/>
          <w:b w:val="false"/>
          <w:i w:val="false"/>
          <w:color w:val="000000"/>
          <w:sz w:val="22"/>
        </w:rPr>
        <w:t>(C) CAS Disclosure statements,</w:t>
      </w:r>
    </w:p>
    <w:p>
      <w:pPr>
        <w:pBdr>
          <w:top w:space="5"/>
          <w:left w:space="5"/>
          <w:bottom w:space="5"/>
          <w:right w:space="5"/>
        </w:pBdr>
        <w:spacing w:after="0"/>
        <w:ind w:left="1305"/>
        <w:jc w:val="left"/>
      </w:pPr>
      <w:r>
        <w:rPr>
          <w:rFonts w:ascii="Times New Roman" w:hAnsi="Times New Roman"/>
          <w:b w:val="false"/>
          <w:i w:val="false"/>
          <w:color w:val="000000"/>
          <w:sz w:val="22"/>
        </w:rPr>
        <w:t>(D) CAS noncompliances,</w:t>
      </w:r>
    </w:p>
    <w:p>
      <w:pPr>
        <w:pBdr>
          <w:top w:space="5"/>
          <w:left w:space="5"/>
          <w:bottom w:space="5"/>
          <w:right w:space="5"/>
        </w:pBdr>
        <w:spacing w:after="0"/>
        <w:ind w:left="1305"/>
        <w:jc w:val="left"/>
      </w:pPr>
      <w:r>
        <w:rPr>
          <w:rFonts w:ascii="Times New Roman" w:hAnsi="Times New Roman"/>
          <w:b w:val="false"/>
          <w:i w:val="false"/>
          <w:color w:val="000000"/>
          <w:sz w:val="22"/>
        </w:rPr>
        <w:t>(E) FPRA/FPRR,</w:t>
      </w:r>
    </w:p>
    <w:p>
      <w:pPr>
        <w:pBdr>
          <w:top w:space="5"/>
          <w:left w:space="5"/>
          <w:bottom w:space="5"/>
          <w:right w:space="5"/>
        </w:pBdr>
        <w:spacing w:after="0"/>
        <w:ind w:left="1305"/>
        <w:jc w:val="left"/>
      </w:pPr>
      <w:r>
        <w:rPr>
          <w:rFonts w:ascii="Times New Roman" w:hAnsi="Times New Roman"/>
          <w:b w:val="false"/>
          <w:i w:val="false"/>
          <w:color w:val="000000"/>
          <w:sz w:val="22"/>
        </w:rPr>
        <w:t>(F) IR&amp;D and B&amp;P information, and</w:t>
      </w:r>
    </w:p>
    <w:p>
      <w:pPr>
        <w:pBdr>
          <w:top w:space="5"/>
          <w:left w:space="5"/>
          <w:bottom w:space="5"/>
          <w:right w:space="5"/>
        </w:pBdr>
        <w:spacing w:after="0"/>
        <w:ind w:left="1305"/>
        <w:jc w:val="left"/>
      </w:pPr>
      <w:r>
        <w:rPr>
          <w:rFonts w:ascii="Times New Roman" w:hAnsi="Times New Roman"/>
          <w:b w:val="false"/>
          <w:i w:val="false"/>
          <w:color w:val="000000"/>
          <w:sz w:val="22"/>
        </w:rPr>
        <w:t>(G) Business Clearance Information.</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pPr>
        <w:pBdr>
          <w:top w:space="5"/>
          <w:left w:space="5"/>
          <w:bottom w:space="5"/>
          <w:right w:space="5"/>
        </w:pBdr>
        <w:spacing w:after="0"/>
        <w:ind w:left="1305"/>
        <w:jc w:val="left"/>
      </w:pPr>
      <w:r>
        <w:rPr>
          <w:rFonts w:ascii="Times New Roman" w:hAnsi="Times New Roman"/>
          <w:b w:val="false"/>
          <w:i w:val="false"/>
          <w:color w:val="000000"/>
          <w:sz w:val="22"/>
        </w:rPr>
        <w:t>(A) Sealed bid acquisitions at the TINA threshold or more when the contracting officer receives a sole responsive bid;</w:t>
      </w:r>
    </w:p>
    <w:p>
      <w:pPr>
        <w:pBdr>
          <w:top w:space="5"/>
          <w:left w:space="5"/>
          <w:bottom w:space="5"/>
          <w:right w:space="5"/>
        </w:pBdr>
        <w:spacing w:after="0"/>
        <w:ind w:left="1305"/>
        <w:jc w:val="left"/>
      </w:pPr>
      <w:r>
        <w:rPr>
          <w:rFonts w:ascii="Times New Roman" w:hAnsi="Times New Roman"/>
          <w:b w:val="false"/>
          <w:i w:val="false"/>
          <w:color w:val="000000"/>
          <w:sz w:val="22"/>
        </w:rPr>
        <w:t>(B) Negotiated acquisitions that exceed the TINA threshold when the contracting officer does not receive adequate price competition;</w:t>
      </w:r>
    </w:p>
    <w:p>
      <w:pPr>
        <w:pBdr>
          <w:top w:space="5"/>
          <w:left w:space="5"/>
          <w:bottom w:space="5"/>
          <w:right w:space="5"/>
        </w:pBdr>
        <w:spacing w:after="0"/>
        <w:ind w:left="1305"/>
        <w:jc w:val="left"/>
      </w:pPr>
      <w:r>
        <w:rPr>
          <w:rFonts w:ascii="Times New Roman" w:hAnsi="Times New Roman"/>
          <w:b w:val="false"/>
          <w:i w:val="false"/>
          <w:color w:val="000000"/>
          <w:sz w:val="22"/>
        </w:rPr>
        <w:t>(C) Defective pricing;</w:t>
      </w:r>
    </w:p>
    <w:p>
      <w:pPr>
        <w:pBdr>
          <w:top w:space="5"/>
          <w:left w:space="5"/>
          <w:bottom w:space="5"/>
          <w:right w:space="5"/>
        </w:pBdr>
        <w:spacing w:after="0"/>
        <w:ind w:left="1305"/>
        <w:jc w:val="left"/>
      </w:pPr>
      <w:r>
        <w:rPr>
          <w:rFonts w:ascii="Times New Roman" w:hAnsi="Times New Roman"/>
          <w:b w:val="false"/>
          <w:i w:val="false"/>
          <w:color w:val="000000"/>
          <w:sz w:val="22"/>
        </w:rPr>
        <w:t>(D) Reportable audits;</w:t>
      </w:r>
    </w:p>
    <w:p>
      <w:pPr>
        <w:pBdr>
          <w:top w:space="5"/>
          <w:left w:space="5"/>
          <w:bottom w:space="5"/>
          <w:right w:space="5"/>
        </w:pBdr>
        <w:spacing w:after="0"/>
        <w:ind w:left="1305"/>
        <w:jc w:val="left"/>
      </w:pPr>
      <w:r>
        <w:rPr>
          <w:rFonts w:ascii="Times New Roman" w:hAnsi="Times New Roman"/>
          <w:b w:val="false"/>
          <w:i w:val="false"/>
          <w:color w:val="000000"/>
          <w:sz w:val="22"/>
        </w:rPr>
        <w:t>(E) Potential overpricing;</w:t>
      </w:r>
    </w:p>
    <w:p>
      <w:pPr>
        <w:pBdr>
          <w:top w:space="5"/>
          <w:left w:space="5"/>
          <w:bottom w:space="5"/>
          <w:right w:space="5"/>
        </w:pBdr>
        <w:spacing w:after="0"/>
        <w:ind w:left="1305"/>
        <w:jc w:val="left"/>
      </w:pPr>
      <w:r>
        <w:rPr>
          <w:rFonts w:ascii="Times New Roman" w:hAnsi="Times New Roman"/>
          <w:b w:val="false"/>
          <w:i w:val="false"/>
          <w:color w:val="000000"/>
          <w:sz w:val="22"/>
        </w:rPr>
        <w:t>(F) Unbalanced pricing; or</w:t>
      </w:r>
    </w:p>
    <w:p>
      <w:pPr>
        <w:pBdr>
          <w:top w:space="5"/>
          <w:left w:space="5"/>
          <w:bottom w:space="5"/>
          <w:right w:space="5"/>
        </w:pBdr>
        <w:spacing w:after="0"/>
        <w:ind w:left="1305"/>
        <w:jc w:val="left"/>
      </w:pPr>
      <w:r>
        <w:rPr>
          <w:rFonts w:ascii="Times New Roman" w:hAnsi="Times New Roman"/>
          <w:b w:val="false"/>
          <w:i w:val="false"/>
          <w:color w:val="000000"/>
          <w:sz w:val="22"/>
        </w:rPr>
        <w:t>(G) Business system reviews.</w:t>
      </w:r>
    </w:p>
    <w:p>
      <w:pPr>
        <w:pBdr>
          <w:top w:space="5"/>
          <w:left w:space="5"/>
          <w:bottom w:space="5"/>
          <w:right w:space="5"/>
        </w:pBdr>
        <w:spacing w:after="0"/>
        <w:ind w:left="1305"/>
        <w:jc w:val="left"/>
      </w:pPr>
      <w:r>
        <w:rPr>
          <w:rFonts w:ascii="Times New Roman" w:hAnsi="Times New Roman"/>
          <w:b w:val="false"/>
          <w:i w:val="false"/>
          <w:color w:val="000000"/>
          <w:sz w:val="22"/>
        </w:rPr>
        <w:t>(H) Acquisitions from Federal Prison Industries (FPI) above the SAT.</w:t>
      </w:r>
    </w:p>
    <w:p>
      <w:pPr>
        <w:pBdr>
          <w:top w:space="5"/>
          <w:left w:space="5"/>
          <w:bottom w:space="5"/>
          <w:right w:space="5"/>
        </w:pBdr>
        <w:spacing w:after="0"/>
        <w:ind w:left="225"/>
        <w:jc w:val="left"/>
      </w:pPr>
      <w:r>
        <w:rPr>
          <w:rFonts w:ascii="Times New Roman" w:hAnsi="Times New Roman"/>
          <w:b w:val="false"/>
          <w:i w:val="false"/>
          <w:color w:val="000000"/>
          <w:sz w:val="22"/>
        </w:rPr>
        <w:t>(b) Price analysis for commercial and non-commercial items.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 Created by docx4j 6.1.2 (Apache licensed) using REFERENCE JAXB in Oracle Java 15 on Linux -->
    <w:p>
      <w:pPr>
        <w:pStyle w:val="Heading3"/>
        <w:spacing w:after="199"/>
        <w:ind w:left="120"/>
        <w:jc w:val="left"/>
      </w:pPr>
      <w:bookmarkStart w:name="DLAD_15_405" w:id="11"/>
      <w:r>
        <w:rPr>
          <w:rFonts w:ascii="Times New Roman" w:hAnsi="Times New Roman"/>
          <w:color w:val="000000"/>
          <w:sz w:val="31"/>
        </w:rPr>
        <w:t>15.405</w:t>
      </w:r>
      <w:r>
        <w:rPr>
          <w:rFonts w:ascii="Times New Roman" w:hAnsi="Times New Roman"/>
          <w:color w:val="000000"/>
          <w:sz w:val="31"/>
        </w:rPr>
        <w:t xml:space="preserve"> Price negotiation.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r>
          <w:rPr>
            <w:rFonts w:ascii="Times New Roman" w:hAnsi="Times New Roman"/>
            <w:b w:val="false"/>
            <w:i w:val="false"/>
            <w:color w:val="0000ff"/>
            <w:sz w:val="22"/>
            <w:u w:val="single"/>
          </w:rPr>
          <w:t>13.106-3 Award and documentation.</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13.106-3 Award and documentation.</w:t>
        </w:r>
      </w:hyperlink>
      <w:r>
        <w:rPr>
          <w:rFonts w:ascii="Times New Roman" w:hAnsi="Times New Roman"/>
          <w:b w:val="false"/>
          <w:i w:val="false"/>
          <w:color w:val="000000"/>
          <w:sz w:val="22"/>
        </w:rPr>
        <w:t>, the contracting officer shall append the memorandum to the SAAD.</w:t>
      </w:r>
    </w:p>
    <!-- Created by docx4j 6.1.2 (Apache licensed) using REFERENCE JAXB in Oracle Java 15 on Linux -->
    <w:p>
      <w:pPr>
        <w:pStyle w:val="Heading3"/>
        <w:spacing w:after="199"/>
        <w:ind w:left="120"/>
        <w:jc w:val="left"/>
      </w:pPr>
      <w:bookmarkStart w:name="DLAD_15_406" w:id="12"/>
      <w:r>
        <w:rPr>
          <w:rFonts w:ascii="Times New Roman" w:hAnsi="Times New Roman"/>
          <w:color w:val="000000"/>
          <w:sz w:val="31"/>
        </w:rPr>
        <w:t>15.406</w:t>
      </w:r>
      <w:r>
        <w:rPr>
          <w:rFonts w:ascii="Times New Roman" w:hAnsi="Times New Roman"/>
          <w:color w:val="000000"/>
          <w:sz w:val="31"/>
        </w:rPr>
        <w:t xml:space="preserve"> Documentation.</w:t>
      </w:r>
      <w:bookmarkEnd w:id="1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6-1" w:id="13"/>
      <w:r>
        <w:rPr>
          <w:rFonts w:ascii="Times New Roman" w:hAnsi="Times New Roman"/>
          <w:i w:val="false"/>
          <w:color w:val="000000"/>
          <w:sz w:val="31"/>
        </w:rPr>
        <w:t>15.406-1</w:t>
      </w:r>
      <w:r>
        <w:rPr>
          <w:rFonts w:ascii="Times New Roman" w:hAnsi="Times New Roman"/>
          <w:i w:val="false"/>
          <w:color w:val="000000"/>
          <w:sz w:val="31"/>
        </w:rPr>
        <w:t xml:space="preserve"> Prenegotiation objectives.</w:t>
      </w:r>
      <w:bookmarkEnd w:id="13"/>
    </w:p>
    <w:p>
      <w:pPr>
        <w:pBdr>
          <w:top w:space="5"/>
          <w:left w:space="5"/>
          <w:bottom w:space="5"/>
          <w:right w:space="5"/>
        </w:pBdr>
        <w:spacing w:after="0"/>
        <w:ind w:left="225"/>
        <w:jc w:val="left"/>
      </w:pPr>
      <w:r>
        <w:rPr>
          <w:rFonts w:ascii="Times New Roman" w:hAnsi="Times New Roman"/>
          <w:b w:val="false"/>
          <w:i w:val="false"/>
          <w:color w:val="000000"/>
          <w:sz w:val="22"/>
        </w:rPr>
        <w:t>(b)(1) For acquisitions above the SAT, except for those noted within (b)(2) of this section, the contracting officer shall document the basis for the prenegotiation objectives using the appropriate Price Negotiation Memorandum (PNM) format (see 15.406-3(a)(S-90)-(S-91).</w:t>
      </w:r>
    </w:p>
    <w:p>
      <w:pPr>
        <w:pBdr>
          <w:top w:space="5"/>
          <w:left w:space="5"/>
          <w:bottom w:space="5"/>
          <w:right w:space="5"/>
        </w:pBdr>
        <w:spacing w:after="0"/>
        <w:ind w:left="585"/>
        <w:jc w:val="left"/>
      </w:pPr>
      <w:r>
        <w:rPr>
          <w:rFonts w:ascii="Times New Roman" w:hAnsi="Times New Roman"/>
          <w:b w:val="false"/>
          <w:i w:val="false"/>
          <w:color w:val="000000"/>
          <w:sz w:val="22"/>
        </w:rP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w:pPr>
        <w:pBdr>
          <w:top w:space="5"/>
          <w:left w:space="5"/>
          <w:bottom w:space="5"/>
          <w:right w:space="5"/>
        </w:pBdr>
        <w:spacing w:after="0"/>
        <w:ind w:left="225"/>
        <w:jc w:val="left"/>
      </w:pPr>
      <w:r>
        <w:rPr>
          <w:rFonts w:ascii="Times New Roman" w:hAnsi="Times New Roman"/>
          <w:b w:val="false"/>
          <w:i w:val="false"/>
          <w:color w:val="000000"/>
          <w:sz w:val="22"/>
        </w:rPr>
        <w:t>(b)(ii) 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 Created by docx4j 6.1.2 (Apache licensed) using REFERENCE JAXB in Oracle Java 15 on Linux -->
    <w:p>
      <w:pPr>
        <w:pStyle w:val="Heading4"/>
        <w:spacing w:after="269"/>
        <w:ind w:left="120"/>
        <w:jc w:val="left"/>
      </w:pPr>
      <w:bookmarkStart w:name="DLAD_15_406-3" w:id="14"/>
      <w:r>
        <w:rPr>
          <w:rFonts w:ascii="Times New Roman" w:hAnsi="Times New Roman"/>
          <w:i w:val="false"/>
          <w:color w:val="000000"/>
          <w:sz w:val="31"/>
        </w:rPr>
        <w:t>15.406-3</w:t>
      </w:r>
      <w:r>
        <w:rPr>
          <w:rFonts w:ascii="Times New Roman" w:hAnsi="Times New Roman"/>
          <w:i w:val="false"/>
          <w:color w:val="000000"/>
          <w:sz w:val="31"/>
        </w:rPr>
        <w:t>Documenting the negotiation.</w:t>
      </w:r>
      <w:bookmarkEnd w:id="14"/>
    </w:p>
    <w:p>
      <w:pPr>
        <w:pBdr>
          <w:top w:space="5"/>
          <w:left w:space="5"/>
          <w:bottom w:space="5"/>
          <w:right w:space="5"/>
        </w:pBdr>
        <w:spacing w:after="0"/>
        <w:ind w:left="225"/>
        <w:jc w:val="left"/>
      </w:pPr>
      <w:r>
        <w:rPr>
          <w:rFonts w:ascii="Times New Roman" w:hAnsi="Times New Roman"/>
          <w:b w:val="false"/>
          <w:i w:val="false"/>
          <w:color w:val="000000"/>
          <w:sz w:val="22"/>
        </w:rP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w:pPr>
        <w:pBdr>
          <w:top w:space="5"/>
          <w:left w:space="5"/>
          <w:bottom w:space="5"/>
          <w:right w:space="5"/>
        </w:pBdr>
        <w:spacing w:after="0"/>
        <w:ind w:left="225"/>
        <w:jc w:val="left"/>
      </w:pPr>
      <w:r>
        <w:rPr>
          <w:rFonts w:ascii="Times New Roman" w:hAnsi="Times New Roman"/>
          <w:b w:val="false"/>
          <w:i w:val="false"/>
          <w:color w:val="000000"/>
          <w:sz w:val="22"/>
          <w:u w:val="single"/>
        </w:rPr>
        <w:t>First</w:t>
      </w:r>
      <w:r>
        <w:rPr>
          <w:rFonts w:ascii="Times New Roman" w:hAnsi="Times New Roman"/>
          <w:b w:val="false"/>
          <w:i w:val="false"/>
          <w:color w:val="000000"/>
          <w:sz w:val="22"/>
          <w:u w:val="single"/>
        </w:rPr>
        <w:t>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BContracting officer analysis.</w:t>
      </w:r>
    </w:p>
    <w:p>
      <w:pPr>
        <w:pBdr>
          <w:top w:space="5"/>
          <w:left w:space="5"/>
          <w:bottom w:space="5"/>
          <w:right w:space="5"/>
        </w:pBdr>
        <w:spacing w:after="0"/>
        <w:ind w:left="225"/>
        <w:jc w:val="left"/>
      </w:pPr>
      <w:r>
        <w:rPr>
          <w:rFonts w:ascii="Times New Roman" w:hAnsi="Times New Roman"/>
          <w:b w:val="false"/>
          <w:i w:val="false"/>
          <w:color w:val="000000"/>
          <w:sz w:val="22"/>
        </w:rPr>
        <w:t>FDCAA or DCMA support.</w:t>
      </w:r>
    </w:p>
    <w:p>
      <w:pPr>
        <w:pBdr>
          <w:top w:space="5"/>
          <w:left w:space="5"/>
          <w:bottom w:space="5"/>
          <w:right w:space="5"/>
        </w:pBdr>
        <w:spacing w:after="0"/>
        <w:ind w:left="225"/>
        <w:jc w:val="left"/>
      </w:pPr>
      <w:r>
        <w:rPr>
          <w:rFonts w:ascii="Times New Roman" w:hAnsi="Times New Roman"/>
          <w:b w:val="false"/>
          <w:i w:val="false"/>
          <w:color w:val="000000"/>
          <w:sz w:val="22"/>
        </w:rPr>
        <w:t>PPrice/Cost Analyst support.</w:t>
      </w:r>
    </w:p>
    <w:p>
      <w:pPr>
        <w:pBdr>
          <w:top w:space="5"/>
          <w:left w:space="5"/>
          <w:bottom w:space="5"/>
          <w:right w:space="5"/>
        </w:pBdr>
        <w:spacing w:after="0"/>
        <w:ind w:left="225"/>
        <w:jc w:val="left"/>
      </w:pPr>
      <w:r>
        <w:rPr>
          <w:rFonts w:ascii="Times New Roman" w:hAnsi="Times New Roman"/>
          <w:b w:val="false"/>
          <w:i w:val="false"/>
          <w:color w:val="000000"/>
          <w:sz w:val="22"/>
        </w:rPr>
        <w:t>VValue Engineering Office support.</w:t>
      </w:r>
    </w:p>
    <w:p>
      <w:pPr>
        <w:pBdr>
          <w:top w:space="5"/>
          <w:left w:space="5"/>
          <w:bottom w:space="5"/>
          <w:right w:space="5"/>
        </w:pBdr>
        <w:spacing w:after="0"/>
        <w:ind w:left="225"/>
        <w:jc w:val="left"/>
      </w:pPr>
      <w:r>
        <w:rPr>
          <w:rFonts w:ascii="Times New Roman" w:hAnsi="Times New Roman"/>
          <w:b w:val="false"/>
          <w:i w:val="false"/>
          <w:color w:val="000000"/>
          <w:sz w:val="22"/>
        </w:rPr>
        <w:t>XContracting officer relied on automated purchase pricing logic.</w:t>
      </w:r>
    </w:p>
    <w:p>
      <w:pPr>
        <w:pBdr>
          <w:top w:space="5"/>
          <w:left w:space="5"/>
          <w:bottom w:space="5"/>
          <w:right w:space="5"/>
        </w:pBdr>
        <w:spacing w:after="0"/>
        <w:ind w:left="225"/>
        <w:jc w:val="left"/>
      </w:pPr>
      <w:r>
        <w:rPr>
          <w:rFonts w:ascii="Times New Roman" w:hAnsi="Times New Roman"/>
          <w:b w:val="false"/>
          <w:i w:val="false"/>
          <w:color w:val="000000"/>
          <w:sz w:val="22"/>
          <w:u w:val="single"/>
        </w:rPr>
        <w:t>Second 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AAdequate price competition from at least two manufacturers or providers of service(s) (FAR 13.106-3(a)(1) or FAR 15.403-1(c)(1), 15.404-1(b)(2)(i) and DFARS 215.371-3).</w:t>
      </w:r>
    </w:p>
    <w:p>
      <w:pPr>
        <w:pBdr>
          <w:top w:space="5"/>
          <w:left w:space="5"/>
          <w:bottom w:space="5"/>
          <w:right w:space="5"/>
        </w:pBdr>
        <w:spacing w:after="0"/>
        <w:ind w:left="225"/>
        <w:jc w:val="left"/>
      </w:pPr>
      <w:r>
        <w:rPr>
          <w:rFonts w:ascii="Times New Roman" w:hAnsi="Times New Roman"/>
          <w:b w:val="false"/>
          <w:i w:val="false"/>
          <w:color w:val="000000"/>
          <w:sz w:val="22"/>
        </w:rPr>
        <w:t xml:space="preserve">BAdequate price competition from at least two non-manufacturers (see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(a)(1)(S-91)</w:t>
        </w:r>
      </w:hyperlink>
      <w:r>
        <w:rPr>
          <w:rFonts w:ascii="Times New Roman" w:hAnsi="Times New Roman"/>
          <w:b w:val="false"/>
          <w:i w:val="false"/>
          <w:color w:val="000000"/>
          <w:sz w:val="22"/>
        </w:rPr>
        <w:t xml:space="preserv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(a)(1)(S-92)</w:t>
        </w:r>
      </w:hyperlink>
      <w:r>
        <w:rPr>
          <w:rFonts w:ascii="Times New Roman" w:hAnsi="Times New Roman"/>
          <w:b w:val="false"/>
          <w:i w:val="false"/>
          <w:color w:val="000000"/>
          <w:sz w:val="22"/>
        </w:rPr>
        <w:t xml:space="preserve">, and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(a)(1)(S-93)</w:t>
        </w:r>
      </w:hyperlink>
      <w:r>
        <w:rPr>
          <w:rFonts w:ascii="Times New Roman" w:hAnsi="Times New Roman"/>
          <w:b w:val="false"/>
          <w:i w:val="false"/>
          <w:color w:val="000000"/>
          <w:sz w:val="22"/>
        </w:rPr>
        <w:t>. The contracting officer shall only use this code for awards not exceeding the SAT when there is a single manufacturing source and that manufacturing source (OEM) did not submit an offer.</w:t>
      </w:r>
    </w:p>
    <w:p>
      <w:pPr>
        <w:pBdr>
          <w:top w:space="5"/>
          <w:left w:space="5"/>
          <w:bottom w:space="5"/>
          <w:right w:space="5"/>
        </w:pBdr>
        <w:spacing w:after="0"/>
        <w:ind w:left="225"/>
        <w:jc w:val="left"/>
      </w:pPr>
      <w:r>
        <w:rPr>
          <w:rFonts w:ascii="Times New Roman" w:hAnsi="Times New Roman"/>
          <w:b w:val="false"/>
          <w:i w:val="false"/>
          <w:color w:val="000000"/>
          <w:sz w:val="22"/>
        </w:rPr>
        <w:t>CCurrent price lists, catalogs, or advertisements (FAR 13.106-3(a)(2)(iii)).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DMarket research (FAR 13.106-3(a)(2)(i)) or comparison with similar items in a related industry (FAR 13.106-3(a)(2)(iv)).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EItem price set by law or regulation (FAR 15.403-1(b)(2))</w:t>
      </w:r>
    </w:p>
    <w:p>
      <w:pPr>
        <w:pBdr>
          <w:top w:space="5"/>
          <w:left w:space="5"/>
          <w:bottom w:space="5"/>
          <w:right w:space="5"/>
        </w:pBdr>
        <w:spacing w:after="0"/>
        <w:ind w:left="225"/>
        <w:jc w:val="left"/>
      </w:pPr>
      <w:r>
        <w:rPr>
          <w:rFonts w:ascii="Times New Roman" w:hAnsi="Times New Roman"/>
          <w:b w:val="false"/>
          <w:i w:val="false"/>
          <w:color w:val="000000"/>
          <w:sz w:val="22"/>
        </w:rPr>
        <w:t>FCost analysis of offeror’s cost or pricing data combined with price analysis (FAR 15.404-1(c)).</w:t>
      </w:r>
    </w:p>
    <w:p>
      <w:pPr>
        <w:pBdr>
          <w:top w:space="5"/>
          <w:left w:space="5"/>
          <w:bottom w:space="5"/>
          <w:right w:space="5"/>
        </w:pBdr>
        <w:spacing w:after="0"/>
        <w:ind w:left="225"/>
        <w:jc w:val="left"/>
      </w:pPr>
      <w:r>
        <w:rPr>
          <w:rFonts w:ascii="Times New Roman" w:hAnsi="Times New Roman"/>
          <w:b w:val="false"/>
          <w:i w:val="false"/>
          <w:color w:val="000000"/>
          <w:sz w:val="22"/>
        </w:rP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w:pPr>
        <w:pBdr>
          <w:top w:space="5"/>
          <w:left w:space="5"/>
          <w:bottom w:space="5"/>
          <w:right w:space="5"/>
        </w:pBdr>
        <w:spacing w:after="0"/>
        <w:ind w:left="225"/>
        <w:jc w:val="left"/>
      </w:pPr>
      <w:r>
        <w:rPr>
          <w:rFonts w:ascii="Times New Roman" w:hAnsi="Times New Roman"/>
          <w:b w:val="false"/>
          <w:i w:val="false"/>
          <w:color w:val="000000"/>
          <w:sz w:val="22"/>
        </w:rPr>
        <w:t>HComparison to independent government estimate (FAR 13.106-3(a)(2)(vi), or independent government cost estimate (FAR 15.404-1(b)(2)(v)).</w:t>
      </w:r>
    </w:p>
    <w:p>
      <w:pPr>
        <w:pBdr>
          <w:top w:space="5"/>
          <w:left w:space="5"/>
          <w:bottom w:space="5"/>
          <w:right w:space="5"/>
        </w:pBdr>
        <w:spacing w:after="0"/>
        <w:ind w:left="225"/>
        <w:jc w:val="left"/>
      </w:pPr>
      <w:r>
        <w:rPr>
          <w:rFonts w:ascii="Times New Roman" w:hAnsi="Times New Roman"/>
          <w:b w:val="false"/>
          <w:i w:val="false"/>
          <w:color w:val="000000"/>
          <w:sz w:val="22"/>
        </w:rPr>
        <w:t>IData other than certified cost or pricing data, excluding cost data, submitted and no other analysis code applies (FAR 15.404-1(b)(2)).</w:t>
      </w:r>
    </w:p>
    <w:p>
      <w:pPr>
        <w:pBdr>
          <w:top w:space="5"/>
          <w:left w:space="5"/>
          <w:bottom w:space="5"/>
          <w:right w:space="5"/>
        </w:pBdr>
        <w:spacing w:after="0"/>
        <w:ind w:left="225"/>
        <w:jc w:val="left"/>
      </w:pPr>
      <w:r>
        <w:rPr>
          <w:rFonts w:ascii="Times New Roman" w:hAnsi="Times New Roman"/>
          <w:b w:val="false"/>
          <w:i w:val="false"/>
          <w:color w:val="000000"/>
          <w:sz w:val="22"/>
        </w:rP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NComparison with competitive published price lists, published market prices of commodities, similar indexes, and discount or rebate arrangements for the same or similar items (FAR 15.404-1(b)(2)(iv)).</w:t>
      </w:r>
    </w:p>
    <w:p>
      <w:pPr>
        <w:pBdr>
          <w:top w:space="5"/>
          <w:left w:space="5"/>
          <w:bottom w:space="5"/>
          <w:right w:space="5"/>
        </w:pBdr>
        <w:spacing w:after="0"/>
        <w:ind w:left="225"/>
        <w:jc w:val="left"/>
      </w:pPr>
      <w:r>
        <w:rPr>
          <w:rFonts w:ascii="Times New Roman" w:hAnsi="Times New Roman"/>
          <w:b w:val="false"/>
          <w:i w:val="false"/>
          <w:color w:val="000000"/>
          <w:sz w:val="22"/>
        </w:rPr>
        <w:t>OParametric estimating methods or application of rough yardsticks after further analysis (FAR 15.404-1(b)(2)(iii)).</w:t>
      </w:r>
    </w:p>
    <w:p>
      <w:pPr>
        <w:pBdr>
          <w:top w:space="5"/>
          <w:left w:space="5"/>
          <w:bottom w:space="5"/>
          <w:right w:space="5"/>
        </w:pBdr>
        <w:spacing w:after="0"/>
        <w:ind w:left="225"/>
        <w:jc w:val="left"/>
      </w:pPr>
      <w:r>
        <w:rPr>
          <w:rFonts w:ascii="Times New Roman" w:hAnsi="Times New Roman"/>
          <w:b w:val="false"/>
          <w:i w:val="false"/>
          <w:color w:val="000000"/>
          <w:sz w:val="22"/>
        </w:rPr>
        <w:t>PComparison of proposed prices with prices found through market research for the same or similar items (FAR 15.404-1(b)(2)(vi)).</w:t>
      </w:r>
    </w:p>
    <w:p>
      <w:pPr>
        <w:pBdr>
          <w:top w:space="5"/>
          <w:left w:space="5"/>
          <w:bottom w:space="5"/>
          <w:right w:space="5"/>
        </w:pBdr>
        <w:spacing w:after="0"/>
        <w:ind w:left="225"/>
        <w:jc w:val="left"/>
      </w:pPr>
      <w:r>
        <w:rPr>
          <w:rFonts w:ascii="Times New Roman" w:hAnsi="Times New Roman"/>
          <w:b w:val="false"/>
          <w:i w:val="false"/>
          <w:color w:val="000000"/>
          <w:sz w:val="22"/>
        </w:rP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w:pPr>
        <w:pBdr>
          <w:top w:space="5"/>
          <w:left w:space="5"/>
          <w:bottom w:space="5"/>
          <w:right w:space="5"/>
        </w:pBdr>
        <w:spacing w:after="0"/>
        <w:ind w:left="225"/>
        <w:jc w:val="left"/>
      </w:pPr>
      <w:r>
        <w:rPr>
          <w:rFonts w:ascii="Times New Roman" w:hAnsi="Times New Roman"/>
          <w:b w:val="false"/>
          <w:i w:val="false"/>
          <w:color w:val="000000"/>
          <w:sz w:val="22"/>
        </w:rP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pPr>
        <w:pBdr>
          <w:top w:space="5"/>
          <w:left w:space="5"/>
          <w:bottom w:space="5"/>
          <w:right w:space="5"/>
        </w:pBdr>
        <w:spacing w:after="0"/>
        <w:ind w:left="225"/>
        <w:jc w:val="left"/>
      </w:pPr>
      <w:r>
        <w:rPr>
          <w:rFonts w:ascii="Times New Roman" w:hAnsi="Times New Roman"/>
          <w:b w:val="false"/>
          <w:i w:val="false"/>
          <w:color w:val="000000"/>
          <w:sz w:val="22"/>
        </w:rP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pPr>
        <w:pBdr>
          <w:top w:space="5"/>
          <w:left w:space="5"/>
          <w:bottom w:space="5"/>
          <w:right w:space="5"/>
        </w:pBdr>
        <w:spacing w:after="0"/>
        <w:ind w:left="225"/>
        <w:jc w:val="left"/>
      </w:pPr>
      <w:r>
        <w:rPr>
          <w:rFonts w:ascii="Times New Roman" w:hAnsi="Times New Roman"/>
          <w:b w:val="false"/>
          <w:i w:val="false"/>
          <w:color w:val="000000"/>
          <w:sz w:val="22"/>
        </w:rPr>
        <w:t>WAward is an unpriced purchase order or undefinitized contract action (code first position “B”).</w:t>
      </w:r>
    </w:p>
    <w:p>
      <w:pPr>
        <w:pBdr>
          <w:top w:space="5"/>
          <w:left w:space="5"/>
          <w:bottom w:space="5"/>
          <w:right w:space="5"/>
        </w:pBdr>
        <w:spacing w:after="0"/>
        <w:ind w:left="225"/>
        <w:jc w:val="left"/>
      </w:pPr>
      <w:r>
        <w:rPr>
          <w:rFonts w:ascii="Times New Roman" w:hAnsi="Times New Roman"/>
          <w:b w:val="false"/>
          <w:i w:val="false"/>
          <w:color w:val="000000"/>
          <w:sz w:val="22"/>
        </w:rPr>
        <w:t>XQuote meets automated pricing logic conditions for price reasonableness. EBS assigns “X” in the first position. Not used for manual awards. For future acquisitions, the contracting officer shall not use actions coded with “X” for comparison.</w:t>
      </w:r>
    </w:p>
    <w:p>
      <w:pPr>
        <w:pBdr>
          <w:top w:space="5"/>
          <w:left w:space="5"/>
          <w:bottom w:space="5"/>
          <w:right w:space="5"/>
        </w:pBdr>
        <w:spacing w:after="0"/>
        <w:ind w:left="225"/>
        <w:jc w:val="left"/>
      </w:pPr>
      <w:r>
        <w:rPr>
          <w:rFonts w:ascii="Times New Roman" w:hAnsi="Times New Roman"/>
          <w:b w:val="false"/>
          <w:i w:val="false"/>
          <w:color w:val="000000"/>
          <w:sz w:val="22"/>
        </w:rP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pPr>
        <w:pBdr>
          <w:top w:space="5"/>
          <w:left w:space="5"/>
          <w:bottom w:space="5"/>
          <w:right w:space="5"/>
        </w:pBdr>
        <w:spacing w:after="0"/>
        <w:ind w:left="225"/>
        <w:jc w:val="left"/>
      </w:pPr>
      <w:r>
        <w:rPr>
          <w:rFonts w:ascii="Times New Roman" w:hAnsi="Times New Roman"/>
          <w:b w:val="false"/>
          <w:i w:val="false"/>
          <w:color w:val="000000"/>
          <w:sz w:val="22"/>
        </w:rP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w:pPr>
        <w:pBdr>
          <w:top w:space="5"/>
          <w:left w:space="5"/>
          <w:bottom w:space="5"/>
          <w:right w:space="5"/>
        </w:pBdr>
        <w:spacing w:after="0"/>
        <w:ind w:left="585"/>
        <w:jc w:val="left"/>
      </w:pPr>
      <w:r>
        <w:rPr>
          <w:rFonts w:ascii="Times New Roman" w:hAnsi="Times New Roman"/>
          <w:b w:val="false"/>
          <w:i w:val="false"/>
          <w:color w:val="000000"/>
          <w:sz w:val="22"/>
        </w:rPr>
        <w:t>(S-90) For acquisitions above the SAT, except when utilizing FAR 13.5 procedures, the</w:t>
      </w:r>
    </w:p>
    <w:p>
      <w:pPr>
        <w:pBdr>
          <w:top w:space="5"/>
          <w:left w:space="5"/>
          <w:bottom w:space="5"/>
          <w:right w:space="5"/>
        </w:pBdr>
        <w:spacing w:after="0"/>
        <w:ind w:left="225"/>
        <w:jc w:val="left"/>
      </w:pPr>
      <w:r>
        <w:rPr>
          <w:rFonts w:ascii="Times New Roman" w:hAnsi="Times New Roman"/>
          <w:b w:val="false"/>
          <w:i w:val="false"/>
          <w:color w:val="000000"/>
          <w:sz w:val="22"/>
          <w:u w:val="single"/>
        </w:rPr>
        <w:t>contracting officer shall include—</w:t>
      </w:r>
    </w:p>
    <w:p>
      <w:pPr>
        <w:pBdr>
          <w:top w:space="5"/>
          <w:left w:space="5"/>
          <w:bottom w:space="5"/>
          <w:right w:space="5"/>
        </w:pBdr>
        <w:spacing w:after="0"/>
        <w:ind w:left="945"/>
        <w:jc w:val="left"/>
      </w:pPr>
      <w:r>
        <w:rPr>
          <w:rFonts w:ascii="Times New Roman" w:hAnsi="Times New Roman"/>
          <w:b w:val="false"/>
          <w:i w:val="false"/>
          <w:color w:val="000000"/>
          <w:sz w:val="22"/>
        </w:rPr>
        <w:t>(i) All applicable elements from one of the PNM formats (competitive or noncompetitive)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at </w:t>
      </w:r>
      <w:r>
        <w:rPr>
          <w:rFonts w:ascii="Times New Roman" w:hAnsi="Times New Roman"/>
          <w:b w:val="false"/>
          <w:i w:val="false"/>
          <w:color w:val="000000"/>
          <w:sz w:val="22"/>
        </w:rPr>
        <w:t>to ensure final negotiated agreements are documented in a consistent manner; and</w:t>
      </w:r>
    </w:p>
    <w:p>
      <w:pPr>
        <w:pBdr>
          <w:top w:space="5"/>
          <w:left w:space="5"/>
          <w:bottom w:space="5"/>
          <w:right w:space="5"/>
        </w:pBdr>
        <w:spacing w:after="0"/>
        <w:ind w:left="945"/>
        <w:jc w:val="left"/>
      </w:pPr>
      <w:r>
        <w:rPr>
          <w:rFonts w:ascii="Times New Roman" w:hAnsi="Times New Roman"/>
          <w:b w:val="false"/>
          <w:i w:val="false"/>
          <w:color w:val="000000"/>
          <w:sz w:val="22"/>
        </w:rPr>
        <w:t>(ii) Any additional relevant information not cited in either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When conducting the acquisition using FAR 13.5 procedures, contracting officers are encouraged, but not required, to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in place of a PNM format.</w:t>
      </w:r>
    </w:p>
    <!-- Created by docx4j 6.1.2 (Apache licensed) using REFERENCE JAXB in Oracle Java 15 on Linux -->
    <w:p>
      <w:pPr>
        <w:pStyle w:val="Heading3"/>
        <w:spacing w:after="199"/>
        <w:ind w:left="120"/>
        <w:jc w:val="left"/>
      </w:pPr>
      <w:bookmarkStart w:name="DLAD_15_407-90" w:id="15"/>
      <w:r>
        <w:rPr>
          <w:rFonts w:ascii="Times New Roman" w:hAnsi="Times New Roman"/>
          <w:color w:val="000000"/>
          <w:sz w:val="31"/>
        </w:rPr>
        <w:t>15.407-90</w:t>
      </w:r>
      <w:r>
        <w:rPr>
          <w:rFonts w:ascii="Times New Roman" w:hAnsi="Times New Roman"/>
          <w:color w:val="000000"/>
          <w:sz w:val="31"/>
        </w:rPr>
        <w:t xml:space="preserve"> Reverse Auction.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(a) Policy.</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pPr>
        <w:pBdr>
          <w:top w:space="5"/>
          <w:left w:space="5"/>
          <w:bottom w:space="5"/>
          <w:right w:space="5"/>
        </w:pBdr>
        <w:spacing w:after="0"/>
        <w:ind w:left="585"/>
        <w:jc w:val="left"/>
      </w:pPr>
      <w:r>
        <w:rPr>
          <w:rFonts w:ascii="Times New Roman" w:hAnsi="Times New Roman"/>
          <w:b w:val="false"/>
          <w:i w:val="false"/>
          <w:color w:val="000000"/>
          <w:sz w:val="22"/>
        </w:rPr>
        <w:t>(2) When reverse auction is used, the contracting officer must use the DLA reverse auction pricing tool and enable the “Lead/Not Lead” feature when price is the sole evaluation factor.</w:t>
      </w:r>
    </w:p>
    <w:p>
      <w:pPr>
        <w:pBdr>
          <w:top w:space="5"/>
          <w:left w:space="5"/>
          <w:bottom w:space="5"/>
          <w:right w:space="5"/>
        </w:pBdr>
        <w:spacing w:after="0"/>
        <w:ind w:left="585"/>
        <w:jc w:val="left"/>
      </w:pPr>
      <w:r>
        <w:rPr>
          <w:rFonts w:ascii="Times New Roman" w:hAnsi="Times New Roman"/>
          <w:b w:val="false"/>
          <w:i w:val="false"/>
          <w:color w:val="000000"/>
          <w:sz w:val="22"/>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pPr>
        <w:pBdr>
          <w:top w:space="5"/>
          <w:left w:space="5"/>
          <w:bottom w:space="5"/>
          <w:right w:space="5"/>
        </w:pBdr>
        <w:spacing w:after="0"/>
        <w:ind w:left="945"/>
        <w:jc w:val="left"/>
      </w:pPr>
      <w:r>
        <w:rPr>
          <w:rFonts w:ascii="Times New Roman" w:hAnsi="Times New Roman"/>
          <w:b w:val="false"/>
          <w:i w:val="false"/>
          <w:color w:val="000000"/>
          <w:sz w:val="22"/>
        </w:rPr>
        <w:t>(i) Last price paid - final auction price X quantity = historical savings</w:t>
      </w:r>
    </w:p>
    <w:p>
      <w:pPr>
        <w:pBdr>
          <w:top w:space="5"/>
          <w:left w:space="5"/>
          <w:bottom w:space="5"/>
          <w:right w:space="5"/>
        </w:pBdr>
        <w:spacing w:after="0"/>
        <w:ind w:left="945"/>
        <w:jc w:val="left"/>
      </w:pPr>
      <w:r>
        <w:rPr>
          <w:rFonts w:ascii="Times New Roman" w:hAnsi="Times New Roman"/>
          <w:b w:val="false"/>
          <w:i w:val="false"/>
          <w:color w:val="000000"/>
          <w:sz w:val="22"/>
        </w:rPr>
        <w:t>(ii) Lowest offered pre-auction price - lowest offered post-auction price X quantity = direct savings</w:t>
      </w:r>
    </w:p>
    <w:p>
      <w:pPr>
        <w:pBdr>
          <w:top w:space="5"/>
          <w:left w:space="5"/>
          <w:bottom w:space="5"/>
          <w:right w:space="5"/>
        </w:pBdr>
        <w:spacing w:after="0"/>
        <w:ind w:left="945"/>
        <w:jc w:val="left"/>
      </w:pPr>
      <w:r>
        <w:rPr>
          <w:rFonts w:ascii="Times New Roman" w:hAnsi="Times New Roman"/>
          <w:b w:val="false"/>
          <w:i w:val="false"/>
          <w:color w:val="000000"/>
          <w:sz w:val="22"/>
        </w:rPr>
        <w:t>(iii) Direct savings X estimated annual quantities = indefinite-delivery contract estimated savings</w:t>
      </w:r>
    </w:p>
    <w:p>
      <w:pPr>
        <w:pBdr>
          <w:top w:space="5"/>
          <w:left w:space="5"/>
          <w:bottom w:space="5"/>
          <w:right w:space="5"/>
        </w:pBdr>
        <w:spacing w:after="0"/>
        <w:ind w:left="945"/>
        <w:jc w:val="left"/>
      </w:pPr>
      <w:r>
        <w:rPr>
          <w:rFonts w:ascii="Times New Roman" w:hAnsi="Times New Roman"/>
          <w:b w:val="false"/>
          <w:i w:val="false"/>
          <w:color w:val="000000"/>
          <w:sz w:val="22"/>
        </w:rPr>
        <w:t>(iv) Direct savings X actual quantities ordered during contract period = indefinite-delivery contract adjusted savings</w:t>
      </w:r>
    </w:p>
    <w:p>
      <w:pPr>
        <w:pBdr>
          <w:top w:space="5"/>
          <w:left w:space="5"/>
          <w:bottom w:space="5"/>
          <w:right w:space="5"/>
        </w:pBdr>
        <w:spacing w:after="0"/>
        <w:ind w:left="225"/>
        <w:jc w:val="left"/>
      </w:pPr>
      <w:r>
        <w:rPr>
          <w:rFonts w:ascii="Times New Roman" w:hAnsi="Times New Roman"/>
          <w:b w:val="false"/>
          <w:i w:val="false"/>
          <w:color w:val="000000"/>
          <w:sz w:val="22"/>
        </w:rPr>
        <w:t>(b) General guidance for selecting reverse auction candidates.</w:t>
      </w:r>
    </w:p>
    <w:p>
      <w:pPr>
        <w:pBdr>
          <w:top w:space="5"/>
          <w:left w:space="5"/>
          <w:bottom w:space="5"/>
          <w:right w:space="5"/>
        </w:pBdr>
        <w:spacing w:after="0"/>
        <w:ind w:left="585"/>
        <w:jc w:val="left"/>
      </w:pPr>
      <w:r>
        <w:rPr>
          <w:rFonts w:ascii="Times New Roman" w:hAnsi="Times New Roman"/>
          <w:b w:val="false"/>
          <w:i w:val="false"/>
          <w:color w:val="000000"/>
          <w:sz w:val="22"/>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pPr>
        <w:pBdr>
          <w:top w:space="5"/>
          <w:left w:space="5"/>
          <w:bottom w:space="5"/>
          <w:right w:space="5"/>
        </w:pBdr>
        <w:spacing w:after="0"/>
        <w:ind w:left="585"/>
        <w:jc w:val="left"/>
      </w:pPr>
      <w:r>
        <w:rPr>
          <w:rFonts w:ascii="Times New Roman" w:hAnsi="Times New Roman"/>
          <w:b w:val="false"/>
          <w:i w:val="false"/>
          <w:color w:val="000000"/>
          <w:sz w:val="22"/>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pPr>
        <w:pBdr>
          <w:top w:space="5"/>
          <w:left w:space="5"/>
          <w:bottom w:space="5"/>
          <w:right w:space="5"/>
        </w:pBdr>
        <w:spacing w:after="0"/>
        <w:ind w:left="225"/>
        <w:jc w:val="left"/>
      </w:pPr>
      <w:r>
        <w:rPr>
          <w:rFonts w:ascii="Times New Roman" w:hAnsi="Times New Roman"/>
          <w:b w:val="false"/>
          <w:i w:val="false"/>
          <w:color w:val="000000"/>
          <w:sz w:val="22"/>
        </w:rPr>
        <w:t>(c) Solicitations shall include procurement note L09 when the contracting officer may</w:t>
      </w:r>
      <w:r>
        <w:rPr>
          <w:rFonts w:ascii="Times New Roman" w:hAnsi="Times New Roman"/>
          <w:b w:val="false"/>
          <w:i w:val="false"/>
          <w:color w:val="000000"/>
          <w:sz w:val="22"/>
        </w:rPr>
        <w:t>use a reverse auction.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L09 Reverse Auction (OCT 2016)</w:t>
      </w:r>
    </w:p>
    <w:p>
      <w:pPr>
        <w:pStyle w:val="Normal"/>
        <w:pBdr>
          <w:top w:space="5"/>
          <w:left w:space="5"/>
          <w:bottom w:space="5"/>
          <w:right w:space="5"/>
        </w:pBdr>
        <w:spacing w:after="0"/>
        <w:ind w:left="225"/>
        <w:jc w:val="left"/>
      </w:pPr>
      <w:r>
        <w:rPr>
          <w:rFonts w:ascii="Times New Roman" w:hAnsi="Times New Roman"/>
          <w:color w:val="000000"/>
        </w:rPr>
        <w:t>The Contracting Officer may utilize reverse auctioning to conduct price discussions. If the Contracting Officer does not conduct a reverse auction, award may be made oninitial offers or following discussions. If the Contracting Officer decides to use line reverse auctioning to conduct price negotiations, the Contracting Officer will notify Offerors of this decision and the following applies:</w:t>
      </w:r>
    </w:p>
    <w:p>
      <w:pPr>
        <w:pStyle w:val="Normal"/>
        <w:pBdr>
          <w:top w:space="5"/>
          <w:left w:space="5"/>
          <w:bottom w:space="5"/>
          <w:right w:space="5"/>
        </w:pBdr>
        <w:spacing w:after="0"/>
        <w:ind w:left="225"/>
        <w:jc w:val="left"/>
      </w:pPr>
      <w:r>
        <w:rPr>
          <w:rFonts w:ascii="Times New Roman" w:hAnsi="Times New Roman"/>
          <w:color w:val="000000"/>
        </w:rPr>
        <w:t>(1) The contracting officer may use reverse auction as the pricing technique during discussions to receive the final offered prices from each offeror.</w:t>
      </w:r>
    </w:p>
    <w:p>
      <w:pPr>
        <w:pStyle w:val="Normal"/>
        <w:pBdr>
          <w:top w:space="5"/>
          <w:left w:space="5"/>
          <w:bottom w:space="5"/>
          <w:right w:space="5"/>
        </w:pBdr>
        <w:spacing w:after="0"/>
        <w:ind w:left="225"/>
        <w:jc w:val="left"/>
      </w:pPr>
      <w:r>
        <w:rPr>
          <w:rFonts w:ascii="Times New Roman" w:hAnsi="Times New Roman"/>
          <w:color w:val="000000"/>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pPr>
        <w:pStyle w:val="Normal"/>
        <w:pBdr>
          <w:top w:space="5"/>
          <w:left w:space="5"/>
          <w:bottom w:space="5"/>
          <w:right w:space="5"/>
        </w:pBdr>
        <w:spacing w:after="0"/>
        <w:ind w:left="225"/>
        <w:jc w:val="left"/>
      </w:pPr>
      <w:r>
        <w:rPr>
          <w:rFonts w:ascii="Times New Roman" w:hAnsi="Times New Roman"/>
          <w:color w:val="000000"/>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pPr>
        <w:pStyle w:val="Normal"/>
        <w:pBdr>
          <w:top w:space="5"/>
          <w:left w:space="5"/>
          <w:bottom w:space="5"/>
          <w:right w:space="5"/>
        </w:pBdr>
        <w:spacing w:after="0"/>
        <w:ind w:left="225"/>
        <w:jc w:val="left"/>
      </w:pPr>
      <w:r>
        <w:rPr>
          <w:rFonts w:ascii="Times New Roman" w:hAnsi="Times New Roman"/>
          <w:color w:val="000000"/>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pPr>
        <w:pStyle w:val="Normal"/>
        <w:pBdr>
          <w:top w:space="5"/>
          <w:left w:space="5"/>
          <w:bottom w:space="5"/>
          <w:right w:space="5"/>
        </w:pBdr>
        <w:spacing w:after="0"/>
        <w:ind w:left="225"/>
        <w:jc w:val="left"/>
      </w:pPr>
      <w:r>
        <w:rPr>
          <w:rFonts w:ascii="Times New Roman" w:hAnsi="Times New Roman"/>
          <w:color w:val="000000"/>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L10 Competing Individual Delivery Orders Through Reverse Auctions (OCT 2016)</w:t>
      </w:r>
    </w:p>
    <w:p>
      <w:pPr>
        <w:pStyle w:val="Normal"/>
        <w:pBdr>
          <w:top w:space="5"/>
          <w:left w:space="5"/>
          <w:bottom w:space="5"/>
          <w:right w:space="5"/>
        </w:pBdr>
        <w:spacing w:after="0"/>
        <w:ind w:left="225"/>
        <w:jc w:val="left"/>
      </w:pPr>
      <w:r>
        <w:rPr>
          <w:rFonts w:ascii="Times New Roman" w:hAnsi="Times New Roman"/>
          <w:color w:val="000000"/>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pPr>
        <w:pStyle w:val="Normal"/>
        <w:pBdr>
          <w:top w:space="5"/>
          <w:left w:space="5"/>
          <w:bottom w:space="5"/>
          <w:right w:space="5"/>
        </w:pBdr>
        <w:spacing w:after="0"/>
        <w:ind w:left="225"/>
        <w:jc w:val="left"/>
      </w:pPr>
      <w:r>
        <w:rPr>
          <w:rFonts w:ascii="Times New Roman" w:hAnsi="Times New Roman"/>
          <w:color w:val="000000"/>
        </w:rPr>
        <w:t>(2) Each contractor identified by the contracting officer as a participant in the reverse auction will be contacted by the DLA commercial reverse auction service provider to advise the contractor of the event and to provide an explanation of the process.</w:t>
      </w:r>
    </w:p>
    <w:p>
      <w:pPr>
        <w:pStyle w:val="Normal"/>
        <w:pBdr>
          <w:top w:space="5"/>
          <w:left w:space="5"/>
          <w:bottom w:space="5"/>
          <w:right w:space="5"/>
        </w:pBdr>
        <w:spacing w:after="0"/>
        <w:ind w:left="225"/>
        <w:jc w:val="left"/>
      </w:pPr>
      <w:r>
        <w:rPr>
          <w:rFonts w:ascii="Times New Roman" w:hAnsi="Times New Roman"/>
          <w:color w:val="000000"/>
        </w:rPr>
        <w:t>(3) The reverse auction will be conducted using the commercial reverse auction service provider’s website, as embedded in the email notification. Participants shall be responsible for providing their own computer and Internet connection.</w:t>
      </w:r>
    </w:p>
    <w:p>
      <w:pPr>
        <w:pStyle w:val="Normal"/>
        <w:pBdr>
          <w:top w:space="5"/>
          <w:left w:space="5"/>
          <w:bottom w:space="5"/>
          <w:right w:space="5"/>
        </w:pBdr>
        <w:spacing w:after="0"/>
        <w:ind w:left="225"/>
        <w:jc w:val="left"/>
      </w:pPr>
      <w:r>
        <w:rPr>
          <w:rFonts w:ascii="Times New Roman" w:hAnsi="Times New Roman"/>
          <w:color w:val="000000"/>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pPr>
        <w:pStyle w:val="Normal"/>
        <w:pBdr>
          <w:top w:space="5"/>
          <w:left w:space="5"/>
          <w:bottom w:space="5"/>
          <w:right w:space="5"/>
        </w:pBdr>
        <w:spacing w:after="0"/>
        <w:ind w:left="225"/>
        <w:jc w:val="left"/>
      </w:pPr>
      <w:r>
        <w:rPr>
          <w:rFonts w:ascii="Times New Roman" w:hAnsi="Times New Roman"/>
          <w:color w:val="000000"/>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5_408" w:id="16"/>
      <w:r>
        <w:rPr>
          <w:rFonts w:ascii="Times New Roman" w:hAnsi="Times New Roman"/>
          <w:color w:val="000000"/>
          <w:sz w:val="31"/>
        </w:rPr>
        <w:t>15.408</w:t>
      </w:r>
      <w:r>
        <w:rPr>
          <w:rFonts w:ascii="Times New Roman" w:hAnsi="Times New Roman"/>
          <w:color w:val="000000"/>
          <w:sz w:val="31"/>
        </w:rPr>
        <w:t xml:space="preserve"> Solicitation provisions and contract clauses.</w:t>
      </w:r>
      <w:bookmarkEnd w:id="16"/>
    </w:p>
    <w:p>
      <w:pPr>
        <w:pBdr>
          <w:top w:space="5"/>
          <w:left w:space="5"/>
          <w:bottom w:space="5"/>
          <w:right w:space="5"/>
        </w:pBdr>
        <w:spacing w:after="0"/>
        <w:ind w:left="225"/>
        <w:jc w:val="left"/>
      </w:pPr>
      <w:r>
        <w:rPr>
          <w:rFonts w:ascii="Times New Roman" w:hAnsi="Times New Roman"/>
          <w:b w:val="false"/>
          <w:i w:val="false"/>
          <w:color w:val="000000"/>
          <w:sz w:val="22"/>
        </w:rPr>
        <w:t>(5) Insert DFARS 252.215-7009, Proposal Adequacy Checklist, in all solicitations that are sole source</w:t>
      </w:r>
    </w:p>
    <w:p>
      <w:pPr>
        <w:pBdr>
          <w:top w:space="5"/>
          <w:left w:space="5"/>
          <w:bottom w:space="5"/>
          <w:right w:space="5"/>
        </w:pBdr>
        <w:spacing w:after="0"/>
        <w:ind w:left="225"/>
        <w:jc w:val="left"/>
      </w:pPr>
      <w:r>
        <w:rPr>
          <w:rFonts w:ascii="Times New Roman" w:hAnsi="Times New Roman"/>
          <w:b w:val="false"/>
          <w:i w:val="false"/>
          <w:color w:val="000000"/>
          <w:sz w:val="22"/>
        </w:rPr>
        <w:t>and exceed the TINA threshold.</w:t>
      </w:r>
    </w:p>
    <!-- Created by docx4j 6.1.2 (Apache licensed) using REFERENCE JAXB in Oracle Java 15 on Linux -->
    <w:p>
      <w:pPr>
        <w:pStyle w:val="Heading2"/>
        <w:spacing w:after="180"/>
        <w:ind w:left="120"/>
        <w:jc w:val="center"/>
      </w:pPr>
      <w:bookmarkStart w:name="DLAD_SUBPART_15_6" w:id="17"/>
      <w:r>
        <w:rPr>
          <w:rFonts w:ascii="Times New Roman" w:hAnsi="Times New Roman"/>
          <w:color w:val="000000"/>
          <w:sz w:val="36"/>
        </w:rPr>
        <w:t>Subpart 15.6</w:t>
      </w:r>
      <w:r>
        <w:rPr>
          <w:rFonts w:ascii="Times New Roman" w:hAnsi="Times New Roman"/>
          <w:color w:val="000000"/>
          <w:sz w:val="36"/>
        </w:rPr>
        <w:t xml:space="preserve"> - UNSOLICITED PROPOSALS</w:t>
      </w:r>
      <w:bookmarkEnd w:id="1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2, 2016</w:t>
      </w:r>
      <w:r>
        <w:rPr>
          <w:rFonts w:ascii="Times New Roman" w:hAnsi="Times New Roman"/>
          <w:b w:val="false"/>
          <w:i/>
          <w:color w:val="000000"/>
          <w:sz w:val="22"/>
        </w:rPr>
        <w:t>through PROCLTR 201</w:t>
      </w:r>
      <w:r>
        <w:rPr>
          <w:rFonts w:ascii="Times New Roman" w:hAnsi="Times New Roman"/>
          <w:b w:val="false"/>
          <w:i/>
          <w:color w:val="000000"/>
          <w:sz w:val="22"/>
        </w:rPr>
        <w:t>7</w:t>
      </w:r>
      <w:r>
        <w:rPr>
          <w:rFonts w:ascii="Times New Roman" w:hAnsi="Times New Roman"/>
          <w:b w:val="false"/>
          <w:i/>
          <w:color w:val="000000"/>
          <w:sz w:val="22"/>
        </w:rPr>
        <w:t>-</w:t>
      </w:r>
      <w:r>
        <w:rPr>
          <w:rFonts w:ascii="Times New Roman" w:hAnsi="Times New Roman"/>
          <w:b w:val="false"/>
          <w:i/>
          <w:color w:val="000000"/>
          <w:sz w:val="22"/>
        </w:rPr>
        <w:t>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606" w:id="18"/>
      <w:r>
        <w:rPr>
          <w:rFonts w:ascii="Times New Roman" w:hAnsi="Times New Roman"/>
          <w:color w:val="000000"/>
          <w:sz w:val="31"/>
        </w:rPr>
        <w:t>15.606</w:t>
      </w:r>
      <w:r>
        <w:rPr>
          <w:rFonts w:ascii="Times New Roman" w:hAnsi="Times New Roman"/>
          <w:color w:val="000000"/>
          <w:sz w:val="31"/>
        </w:rPr>
        <w:t xml:space="preserve"> Agency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pPr>
        <w:pBdr>
          <w:top w:space="5"/>
          <w:left w:space="5"/>
          <w:bottom w:space="5"/>
          <w:right w:space="5"/>
        </w:pBdr>
        <w:spacing w:after="0"/>
        <w:ind w:left="945"/>
        <w:jc w:val="left"/>
      </w:pPr>
      <w:r>
        <w:rPr>
          <w:rFonts w:ascii="Times New Roman" w:hAnsi="Times New Roman"/>
          <w:b w:val="false"/>
          <w:i w:val="false"/>
          <w:color w:val="000000"/>
          <w:sz w:val="22"/>
        </w:rPr>
        <w:t>(i) Coordinate and manage UPs;</w:t>
      </w:r>
    </w:p>
    <w:p>
      <w:pPr>
        <w:pBdr>
          <w:top w:space="5"/>
          <w:left w:space="5"/>
          <w:bottom w:space="5"/>
          <w:right w:space="5"/>
        </w:pBdr>
        <w:spacing w:after="0"/>
        <w:ind w:left="945"/>
        <w:jc w:val="left"/>
      </w:pPr>
      <w:r>
        <w:rPr>
          <w:rFonts w:ascii="Times New Roman" w:hAnsi="Times New Roman"/>
          <w:b w:val="false"/>
          <w:i w:val="false"/>
          <w:color w:val="000000"/>
          <w:sz w:val="22"/>
        </w:rPr>
        <w:t>(ii) Protect UPs from unauthorized disclosure (FAR 15.608 and 15.609); use cover sheet provided in FAR 15.609 for all stages of the Government’s handling of a UP;</w:t>
      </w:r>
    </w:p>
    <w:p>
      <w:pPr>
        <w:pBdr>
          <w:top w:space="5"/>
          <w:left w:space="5"/>
          <w:bottom w:space="5"/>
          <w:right w:space="5"/>
        </w:pBdr>
        <w:spacing w:after="0"/>
        <w:ind w:left="945"/>
        <w:jc w:val="left"/>
      </w:pPr>
      <w:r>
        <w:rPr>
          <w:rFonts w:ascii="Times New Roman" w:hAnsi="Times New Roman"/>
          <w:b w:val="false"/>
          <w:i w:val="false"/>
          <w:color w:val="000000"/>
          <w:sz w:val="22"/>
        </w:rPr>
        <w:t>(iii) Advise UP program manager when a UP needs wider consideration in DLA;</w:t>
      </w:r>
    </w:p>
    <w:p>
      <w:pPr>
        <w:pBdr>
          <w:top w:space="5"/>
          <w:left w:space="5"/>
          <w:bottom w:space="5"/>
          <w:right w:space="5"/>
        </w:pBdr>
        <w:spacing w:after="0"/>
        <w:ind w:left="945"/>
        <w:jc w:val="left"/>
      </w:pPr>
      <w:r>
        <w:rPr>
          <w:rFonts w:ascii="Times New Roman" w:hAnsi="Times New Roman"/>
          <w:b w:val="false"/>
          <w:i w:val="false"/>
          <w:color w:val="000000"/>
          <w:sz w:val="22"/>
        </w:rPr>
        <w:t>(iv) Preserve accurate and complete disposition record of all UP processed;</w:t>
      </w:r>
    </w:p>
    <w:p>
      <w:pPr>
        <w:pBdr>
          <w:top w:space="5"/>
          <w:left w:space="5"/>
          <w:bottom w:space="5"/>
          <w:right w:space="5"/>
        </w:pBdr>
        <w:spacing w:after="0"/>
        <w:ind w:left="945"/>
        <w:jc w:val="left"/>
      </w:pPr>
      <w:r>
        <w:rPr>
          <w:rFonts w:ascii="Times New Roman" w:hAnsi="Times New Roman"/>
          <w:b w:val="false"/>
          <w:i w:val="false"/>
          <w:color w:val="000000"/>
          <w:sz w:val="22"/>
        </w:rPr>
        <w:t>(v) Ensure all affected evaluation offices and personnel follow FAR 15.608 and 15.609;</w:t>
      </w:r>
    </w:p>
    <w:p>
      <w:pPr>
        <w:pBdr>
          <w:top w:space="5"/>
          <w:left w:space="5"/>
          <w:bottom w:space="5"/>
          <w:right w:space="5"/>
        </w:pBdr>
        <w:spacing w:after="0"/>
        <w:ind w:left="945"/>
        <w:jc w:val="left"/>
      </w:pPr>
      <w:r>
        <w:rPr>
          <w:rFonts w:ascii="Times New Roman" w:hAnsi="Times New Roman"/>
          <w:b w:val="false"/>
          <w:i w:val="false"/>
          <w:color w:val="000000"/>
          <w:sz w:val="22"/>
        </w:rPr>
        <w:t>(vi) Ensure evaluators provide supporting reason for conclusions and recommendations. When recommending the UP for acceptance, ensure evaluators specify available funds or programmed funds; and</w:t>
      </w:r>
    </w:p>
    <w:p>
      <w:pPr>
        <w:pBdr>
          <w:top w:space="5"/>
          <w:left w:space="5"/>
          <w:bottom w:space="5"/>
          <w:right w:space="5"/>
        </w:pBdr>
        <w:spacing w:after="0"/>
        <w:ind w:left="945"/>
        <w:jc w:val="left"/>
      </w:pPr>
      <w:r>
        <w:rPr>
          <w:rFonts w:ascii="Times New Roman" w:hAnsi="Times New Roman"/>
          <w:b w:val="false"/>
          <w:i w:val="false"/>
          <w:color w:val="000000"/>
          <w:sz w:val="22"/>
        </w:rPr>
        <w:t>(vii) Send to contractors expressing interest in sending a UP the information in FAR 15.604(a)(1) through (6).</w:t>
      </w:r>
    </w:p>
    <w:p>
      <w:pPr>
        <w:pBdr>
          <w:top w:space="5"/>
          <w:left w:space="5"/>
          <w:bottom w:space="5"/>
          <w:right w:space="5"/>
        </w:pBdr>
        <w:spacing w:after="0"/>
        <w:ind w:left="585"/>
        <w:jc w:val="left"/>
      </w:pPr>
      <w:r>
        <w:rPr>
          <w:rFonts w:ascii="Times New Roman" w:hAnsi="Times New Roman"/>
          <w:b w:val="false"/>
          <w:i w:val="false"/>
          <w:color w:val="000000"/>
          <w:sz w:val="22"/>
        </w:rPr>
        <w:t>(S-91) Detailed procedures.</w:t>
      </w:r>
    </w:p>
    <w:p>
      <w:pPr>
        <w:pBdr>
          <w:top w:space="5"/>
          <w:left w:space="5"/>
          <w:bottom w:space="5"/>
          <w:right w:space="5"/>
        </w:pBdr>
        <w:spacing w:after="0"/>
        <w:ind w:left="945"/>
        <w:jc w:val="left"/>
      </w:pPr>
      <w:r>
        <w:rPr>
          <w:rFonts w:ascii="Times New Roman" w:hAnsi="Times New Roman"/>
          <w:b w:val="false"/>
          <w:i w:val="false"/>
          <w:color w:val="000000"/>
          <w:sz w:val="22"/>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pPr>
        <w:pBdr>
          <w:top w:space="5"/>
          <w:left w:space="5"/>
          <w:bottom w:space="5"/>
          <w:right w:space="5"/>
        </w:pBdr>
        <w:spacing w:after="0"/>
        <w:ind w:left="945"/>
        <w:jc w:val="left"/>
      </w:pPr>
      <w:r>
        <w:rPr>
          <w:rFonts w:ascii="Times New Roman" w:hAnsi="Times New Roman"/>
          <w:b w:val="false"/>
          <w:i w:val="false"/>
          <w:color w:val="000000"/>
          <w:sz w:val="22"/>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w:pPr>
        <w:pBdr>
          <w:top w:space="5"/>
          <w:left w:space="5"/>
          <w:bottom w:space="5"/>
          <w:right w:space="5"/>
        </w:pBdr>
        <w:spacing w:after="0"/>
        <w:ind w:left="945"/>
        <w:jc w:val="left"/>
      </w:pPr>
      <w:r>
        <w:rPr>
          <w:rFonts w:ascii="Times New Roman" w:hAnsi="Times New Roman"/>
          <w:b w:val="false"/>
          <w:i w:val="false"/>
          <w:color w:val="000000"/>
          <w:sz w:val="22"/>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pPr>
        <w:pBdr>
          <w:top w:space="5"/>
          <w:left w:space="5"/>
          <w:bottom w:space="5"/>
          <w:right w:space="5"/>
        </w:pBdr>
        <w:spacing w:after="0"/>
        <w:ind w:left="945"/>
        <w:jc w:val="left"/>
      </w:pPr>
      <w:r>
        <w:rPr>
          <w:rFonts w:ascii="Times New Roman" w:hAnsi="Times New Roman"/>
          <w:b w:val="false"/>
          <w:i w:val="false"/>
          <w:color w:val="000000"/>
          <w:sz w:val="22"/>
        </w:rP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w:pPr>
        <w:pBdr>
          <w:top w:space="5"/>
          <w:left w:space="5"/>
          <w:bottom w:space="5"/>
          <w:right w:space="5"/>
        </w:pBdr>
        <w:spacing w:after="0"/>
        <w:ind w:left="225"/>
        <w:jc w:val="left"/>
      </w:pPr>
      <w:r>
        <w:rPr>
          <w:rFonts w:ascii="Times New Roman" w:hAnsi="Times New Roman"/>
          <w:b w:val="false"/>
          <w:i w:val="false"/>
          <w:color w:val="000000"/>
          <w:sz w:val="22"/>
        </w:rPr>
        <w:t>(b) Organization coordinators responsible for UPs.</w:t>
      </w:r>
    </w:p>
    <w:p>
      <w:pPr>
        <w:pBdr>
          <w:top w:space="5"/>
          <w:left w:space="5"/>
          <w:bottom w:space="5"/>
          <w:right w:space="5"/>
        </w:pBdr>
        <w:spacing w:after="0"/>
        <w:ind w:left="585"/>
        <w:jc w:val="left"/>
      </w:pPr>
      <w:r>
        <w:rPr>
          <w:rFonts w:ascii="Times New Roman" w:hAnsi="Times New Roman"/>
          <w:b w:val="false"/>
          <w:i w:val="false"/>
          <w:color w:val="000000"/>
          <w:sz w:val="22"/>
        </w:rPr>
        <w:t>(S-90) DLA Land and Maritime – Competition Advocate (primary) and Procurement Process Directorate (alternate)</w:t>
      </w:r>
    </w:p>
    <w:p>
      <w:pPr>
        <w:pBdr>
          <w:top w:space="5"/>
          <w:left w:space="5"/>
          <w:bottom w:space="5"/>
          <w:right w:space="5"/>
        </w:pBdr>
        <w:spacing w:after="0"/>
        <w:ind w:left="585"/>
        <w:jc w:val="left"/>
      </w:pPr>
      <w:r>
        <w:rPr>
          <w:rFonts w:ascii="Times New Roman" w:hAnsi="Times New Roman"/>
          <w:b w:val="false"/>
          <w:i w:val="false"/>
          <w:color w:val="000000"/>
          <w:sz w:val="22"/>
        </w:rPr>
        <w:t>(S-91) DLA Troop Support – Pricing and Strategy Division Chief</w:t>
      </w:r>
    </w:p>
    <w:p>
      <w:pPr>
        <w:pBdr>
          <w:top w:space="5"/>
          <w:left w:space="5"/>
          <w:bottom w:space="5"/>
          <w:right w:space="5"/>
        </w:pBdr>
        <w:spacing w:after="0"/>
        <w:ind w:left="585"/>
        <w:jc w:val="left"/>
      </w:pPr>
      <w:r>
        <w:rPr>
          <w:rFonts w:ascii="Times New Roman" w:hAnsi="Times New Roman"/>
          <w:b w:val="false"/>
          <w:i w:val="false"/>
          <w:color w:val="000000"/>
          <w:sz w:val="22"/>
        </w:rPr>
        <w:t>(S-92) DLA Aviation – Pricing Division Chief</w:t>
      </w:r>
    </w:p>
    <w:p>
      <w:pPr>
        <w:pBdr>
          <w:top w:space="5"/>
          <w:left w:space="5"/>
          <w:bottom w:space="5"/>
          <w:right w:space="5"/>
        </w:pBdr>
        <w:spacing w:after="0"/>
        <w:ind w:left="585"/>
        <w:jc w:val="left"/>
      </w:pPr>
      <w:r>
        <w:rPr>
          <w:rFonts w:ascii="Times New Roman" w:hAnsi="Times New Roman"/>
          <w:b w:val="false"/>
          <w:i w:val="false"/>
          <w:color w:val="000000"/>
          <w:sz w:val="22"/>
        </w:rPr>
        <w:t>(S-93) DLA Energy – Acquisition Policy and Oversight Associate Director</w:t>
      </w:r>
    </w:p>
    <w:p>
      <w:pPr>
        <w:pBdr>
          <w:top w:space="5"/>
          <w:left w:space="5"/>
          <w:bottom w:space="5"/>
          <w:right w:space="5"/>
        </w:pBdr>
        <w:spacing w:after="0"/>
        <w:ind w:left="585"/>
        <w:jc w:val="left"/>
      </w:pPr>
      <w:r>
        <w:rPr>
          <w:rFonts w:ascii="Times New Roman" w:hAnsi="Times New Roman"/>
          <w:b w:val="false"/>
          <w:i w:val="false"/>
          <w:color w:val="000000"/>
          <w:sz w:val="22"/>
        </w:rPr>
        <w:t>(S-94) DLA Disposition Services – Acquisition Procedures Division Chief</w:t>
      </w:r>
    </w:p>
    <w:p>
      <w:pPr>
        <w:pBdr>
          <w:top w:space="5"/>
          <w:left w:space="5"/>
          <w:bottom w:space="5"/>
          <w:right w:space="5"/>
        </w:pBdr>
        <w:spacing w:after="0"/>
        <w:ind w:left="585"/>
        <w:jc w:val="left"/>
      </w:pPr>
      <w:r>
        <w:rPr>
          <w:rFonts w:ascii="Times New Roman" w:hAnsi="Times New Roman"/>
          <w:b w:val="false"/>
          <w:i w:val="false"/>
          <w:color w:val="000000"/>
          <w:sz w:val="22"/>
        </w:rPr>
        <w:t>(S-95) DLA Distribution – Acquisition Policy Chief</w:t>
      </w:r>
    </w:p>
    <w:p>
      <w:pPr>
        <w:pBdr>
          <w:top w:space="5"/>
          <w:left w:space="5"/>
          <w:bottom w:space="5"/>
          <w:right w:space="5"/>
        </w:pBdr>
        <w:spacing w:after="0"/>
        <w:ind w:left="585"/>
        <w:jc w:val="left"/>
      </w:pPr>
      <w:r>
        <w:rPr>
          <w:rFonts w:ascii="Times New Roman" w:hAnsi="Times New Roman"/>
          <w:b w:val="false"/>
          <w:i w:val="false"/>
          <w:color w:val="000000"/>
          <w:sz w:val="22"/>
        </w:rPr>
        <w:t>(S-96) DLA Strategic Materials – Contracting Director</w:t>
      </w:r>
    </w:p>
    <w:p>
      <w:pPr>
        <w:pBdr>
          <w:top w:space="5"/>
          <w:left w:space="5"/>
          <w:bottom w:space="5"/>
          <w:right w:space="5"/>
        </w:pBdr>
        <w:spacing w:after="0"/>
        <w:ind w:left="585"/>
        <w:jc w:val="left"/>
      </w:pPr>
      <w:r>
        <w:rPr>
          <w:rFonts w:ascii="Times New Roman" w:hAnsi="Times New Roman"/>
          <w:b w:val="false"/>
          <w:i w:val="false"/>
          <w:color w:val="000000"/>
          <w:sz w:val="22"/>
        </w:rPr>
        <w:t>(S-97) DLA Contracting Services Office – Contract &amp; Pricing Compliance Division Chief</w:t>
      </w:r>
    </w:p>
    <w:p>
      <w:pPr>
        <w:pBdr>
          <w:top w:space="5"/>
          <w:left w:space="5"/>
          <w:bottom w:space="5"/>
          <w:right w:space="5"/>
        </w:pBdr>
        <w:spacing w:after="0"/>
        <w:ind w:left="225"/>
        <w:jc w:val="left"/>
      </w:pPr>
    </w:p>
    <w:sectPr>
      <w:pgSz w:w="12240" w:h="15840" w:code="1"/>
      <w:pgMar w:top="1440" w:right="1440" w:bottom="1440" w:left="1440"/>
      <w:pgNumType w:start="1"/>
      <w:footerReference w:type="default" r:id="Red71616b556e4d4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d71616b556e4d40" /><Relationship Type="http://schemas.openxmlformats.org/officeDocument/2006/relationships/hyperlink" Target="SUBPART_15.3.dita#DLAD_SUBPART_15_3" TargetMode="External" Id="R7d5dd694126a43bb" /><Relationship Type="http://schemas.openxmlformats.org/officeDocument/2006/relationships/hyperlink" Target="15.303.dita#DLAD_15_303" TargetMode="External" Id="R5ca2fb4611534240" /><Relationship Type="http://schemas.openxmlformats.org/officeDocument/2006/relationships/hyperlink" Target="SUBPART_15.4.dita#DLAD_SUBPART_15_4" TargetMode="External" Id="R5010d4e4c2af48b1" /><Relationship Type="http://schemas.openxmlformats.org/officeDocument/2006/relationships/hyperlink" Target="15.402.dita#DLAD_15_402" TargetMode="External" Id="R6684e5e7a0f645c0" /><Relationship Type="http://schemas.openxmlformats.org/officeDocument/2006/relationships/hyperlink" Target="15.403.dita#DLAD_15_403" TargetMode="External" Id="Rc3916c5c18b04300" /><Relationship Type="http://schemas.openxmlformats.org/officeDocument/2006/relationships/hyperlink" Target="15.403-1.dita#DLAD_15_403-1" TargetMode="External" Id="R9bc53e29a11044a7" /><Relationship Type="http://schemas.openxmlformats.org/officeDocument/2006/relationships/hyperlink" Target="15.403-3.dita#DLAD_15_403-3" TargetMode="External" Id="R162ea03ba7cd4101" /><Relationship Type="http://schemas.openxmlformats.org/officeDocument/2006/relationships/hyperlink" Target="15.403-4.dita#DLAD_15_403-4" TargetMode="External" Id="Rc590c73c7d1e4141" /><Relationship Type="http://schemas.openxmlformats.org/officeDocument/2006/relationships/hyperlink" Target="15.404.dita#DLAD_15_404" TargetMode="External" Id="R888c1718f18043b5" /><Relationship Type="http://schemas.openxmlformats.org/officeDocument/2006/relationships/hyperlink" Target="15.404-1.dita#DLAD_15_404-1" TargetMode="External" Id="Rbd3cc60a08b744db" /><Relationship Type="http://schemas.openxmlformats.org/officeDocument/2006/relationships/hyperlink" Target="15.405.dita#DLAD_15_405" TargetMode="External" Id="Radd08a7179434602" /><Relationship Type="http://schemas.openxmlformats.org/officeDocument/2006/relationships/hyperlink" Target="15.406.dita#DLAD_15_406" TargetMode="External" Id="R129ee192f6374bfc" /><Relationship Type="http://schemas.openxmlformats.org/officeDocument/2006/relationships/hyperlink" Target="15.406-1.dita#DLAD_15_406-1" TargetMode="External" Id="Rbcefc8e1ecad415b" /><Relationship Type="http://schemas.openxmlformats.org/officeDocument/2006/relationships/hyperlink" Target="15.406-3.dita#DLAD_15_406-3" TargetMode="External" Id="Rbb24b0ae64b24727" /><Relationship Type="http://schemas.openxmlformats.org/officeDocument/2006/relationships/hyperlink" Target="15.407-90.dita#DLAD_15_407-90" TargetMode="External" Id="R27ce14abb1384354" /><Relationship Type="http://schemas.openxmlformats.org/officeDocument/2006/relationships/hyperlink" Target="15.408.dita#DLAD_15_408" TargetMode="External" Id="R9894a1eb34a6415b" /><Relationship Type="http://schemas.openxmlformats.org/officeDocument/2006/relationships/hyperlink" Target="SUBPART_15.6.dita#DLAD_SUBPART_15_6" TargetMode="External" Id="R802d3e3bb7554505" /><Relationship Type="http://schemas.openxmlformats.org/officeDocument/2006/relationships/hyperlink" Target="15.606.dita#DLAD_15_606" TargetMode="External" Id="R5acbf5c26ff84b9b" /><Relationship Type="http://schemas.openxmlformats.org/officeDocument/2006/relationships/hyperlink" Target="https://www.sprs.csd.disa.mil/" TargetMode="External" Id="Rf4354561e9734225" /><Relationship Type="http://schemas.openxmlformats.org/officeDocument/2006/relationships/hyperlink" Target="https://www.sprs.csd.disa.mil/" TargetMode="External" Id="R6f8af72b34ec4338" /><Relationship Type="http://schemas.openxmlformats.org/officeDocument/2006/relationships/hyperlink" Target="https://www.sprs.csd.disa.mil/pdf/SPRS_Awardee.pdf" TargetMode="External" Id="Ree481f7be8434675" /><Relationship Type="http://schemas.openxmlformats.org/officeDocument/2006/relationships/hyperlink" Target="https://www.sprs.csd.disa.mil/pdf/SPRS_Awardee.pdf" TargetMode="External" Id="R80ce55dbb07b472d" /><Relationship Type="http://schemas.openxmlformats.org/officeDocument/2006/relationships/hyperlink" Target="https://www.sprs.csd.disa.mil/pdf/SPRS_Government.pdf" TargetMode="External" Id="R941d75b2990246dd" /><Relationship Type="http://schemas.openxmlformats.org/officeDocument/2006/relationships/hyperlink" Target="https://www.sprs.csd.disa.mil/pdf/SPRS_Government.pdf" TargetMode="External" Id="R583a5bd25aac4b45" /><Relationship Type="http://schemas.openxmlformats.org/officeDocument/2006/relationships/hyperlink" Target="https://www.sprs.csd.disa.mil/pdf/SPRS_Awardee.pdf" TargetMode="External" Id="Rdf8e2d1340b0430f" /><Relationship Type="http://schemas.openxmlformats.org/officeDocument/2006/relationships/hyperlink" Target="https://www.sprs.csd.disa.mil/pdf/SPRS_Awardee.pdf" TargetMode="External" Id="Re0d83cdc6e7c4783" /><Relationship Type="http://schemas.openxmlformats.org/officeDocument/2006/relationships/hyperlink" Target="SPRS%20Evaluation%20Criteria" TargetMode="External" Id="Rf62c11b23b474d39" /><Relationship Type="http://schemas.openxmlformats.org/officeDocument/2006/relationships/hyperlink" Target="https://www.sprs.csd.disa.mil/pdf/SPRS_DataEvaluationCriteria.pdf" TargetMode="External" Id="R73366b69ce894e5a" /><Relationship Type="http://schemas.openxmlformats.org/officeDocument/2006/relationships/hyperlink" Target="https://www.sprs.csd.disa.mil/pdf/SPRS_Awardee.pdf" TargetMode="External" Id="Ref524b7654b7477f" /><Relationship Type="http://schemas.openxmlformats.org/officeDocument/2006/relationships/hyperlink" Target="https://www.sprs.csd.disa.mil/pdf/SPRS_Awardee.pdf" TargetMode="External" Id="R24ac184ad8b14491" /><Relationship Type="http://schemas.openxmlformats.org/officeDocument/2006/relationships/hyperlink" Target="https://www.acq.osd.mil/dpap/policy/policyvault/USA001700-20-DPC.pdf" TargetMode="External" Id="R333ea6c50fd1486d" /><Relationship Type="http://schemas.openxmlformats.org/officeDocument/2006/relationships/hyperlink" Target="https://www.acq.osd.mil/dpap/policy/policyvault/USA001700-20-DPC.pdf" TargetMode="External" Id="R5928c3ab2d1d423f" /><Relationship Type="http://schemas.openxmlformats.org/officeDocument/2006/relationships/hyperlink" Target="https://www.dla.mil/Portals/104/Documents/J7Acquisition/DPC_Application_Form_Sec-890_Pilot_Program.docx" TargetMode="External" Id="Reec6b4e6102e4776" /><Relationship Type="http://schemas.openxmlformats.org/officeDocument/2006/relationships/hyperlink" Target="https://www.dla.mil/Portals/104/Documents/J7Acquisition/DPC_Application_Form_Sec-890_Pilot_Program.docx" TargetMode="External" Id="R92e932a1e4134e3f" /><Relationship Type="http://schemas.openxmlformats.org/officeDocument/2006/relationships/hyperlink" Target="13.106-3.dita#DLAD_13_106-3" TargetMode="External" Id="Re346afd65ad14d08" /><Relationship Type="http://schemas.openxmlformats.org/officeDocument/2006/relationships/hyperlink" Target="13.106-3.dita#DLAD_13_106-3/p_P13_106_3_b" TargetMode="External" Id="R73e18f9b5fa8452b" /><Relationship Type="http://schemas.openxmlformats.org/officeDocument/2006/relationships/hyperlink" Target="13.106-3.dita#DLAD_13_106-3/p_P13_106_3_a_1_S91" TargetMode="External" Id="Rf20a4aa3dbd04357" /><Relationship Type="http://schemas.openxmlformats.org/officeDocument/2006/relationships/hyperlink" Target="13.106-3.dita#DLAD_13_106-3/443ssde" TargetMode="External" Id="R052ccd86ee5d4f0b" /><Relationship Type="http://schemas.openxmlformats.org/officeDocument/2006/relationships/hyperlink" Target="13.106-3.dita#DLAD_13_106-3/rerS93" TargetMode="External" Id="Rf592fd61abad4457" /><Relationship Type="http://schemas.openxmlformats.org/officeDocument/2006/relationships/hyperlink" Target="53.9013.dita#DLAD_53_9013/Gltewj" TargetMode="External" Id="R6ae7304d3a244cf8" /><Relationship Type="http://schemas.openxmlformats.org/officeDocument/2006/relationships/hyperlink" Target="53.9013.dita#DLAD_53_9013/0c86im0j" TargetMode="External" Id="R50797a5be114440b" /><Relationship Type="http://schemas.openxmlformats.org/officeDocument/2006/relationships/hyperlink" Target="13.106-3.dita#DLAD_13_106-3/p_P13_106_3_b" TargetMode="External" Id="Rc12d51fe89a343a0" /><Relationship Type="http://schemas.openxmlformats.org/officeDocument/2006/relationships/hyperlink" Target="13.501.dita#DLAD_13_501/rer2eB" TargetMode="External" Id="Rb175726b4811493d" /><Relationship Type="http://schemas.openxmlformats.org/officeDocument/2006/relationships/hyperlink" Target="13.501.dita#DLAD_13_501/rre3B3" TargetMode="External" Id="Rded3444f076d4a2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