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 w:id="0"/>
      <w:r>
        <w:rPr>
          <w:rFonts w:ascii="Times New Roman" w:hAnsi="Times New Roman"/>
          <w:color w:val="000000"/>
        </w:rPr>
        <w:t>Part 2</w:t>
      </w:r>
      <w:r>
        <w:rPr>
          <w:rFonts w:ascii="Times New Roman" w:hAnsi="Times New Roman"/>
          <w:color w:val="000000"/>
        </w:rPr>
        <w:t xml:space="preserve"> - DEFINITIONS OF WORDS AND TERMS</w:t>
      </w:r>
      <w:bookmarkEnd w:id="0"/>
    </w:p>
    <w:p>
      <w:pPr>
        <w:spacing w:after="0"/>
        <w:jc w:val="left"/>
        <w:ind w:left="720" w:hanging="360"/>
      </w:pPr>
      <w:hyperlink w:anchor="DLAD_SUBPART_2_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LAD_2_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LAD_SUBPART_2_1" w:id="1"/>
      <w:r>
        <w:rPr>
          <w:rFonts w:ascii="Times New Roman" w:hAnsi="Times New Roman"/>
          <w:color w:val="000000"/>
          <w:sz w:val="36"/>
        </w:rPr>
        <w:t>Subpart 2.1</w:t>
      </w:r>
      <w:r>
        <w:rPr>
          <w:rFonts w:ascii="Times New Roman" w:hAnsi="Times New Roman"/>
          <w:color w:val="000000"/>
          <w:sz w:val="36"/>
        </w:rPr>
        <w:t xml:space="preserve"> - DEFINITIONS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w:t>
      </w:r>
      <w:r>
        <w:rPr>
          <w:rFonts w:ascii="Times New Roman" w:hAnsi="Times New Roman"/>
          <w:b w:val="false"/>
          <w:i/>
          <w:color w:val="000000"/>
          <w:sz w:val="22"/>
        </w:rPr>
        <w:t>, 2020 through PROCLTR 2020-</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2_101" w:id="2"/>
      <w:r>
        <w:rPr>
          <w:rFonts w:ascii="Times New Roman" w:hAnsi="Times New Roman"/>
          <w:color w:val="000000"/>
          <w:sz w:val="31"/>
        </w:rPr>
        <w:t>2.101</w:t>
      </w:r>
      <w:r>
        <w:rPr>
          <w:rFonts w:ascii="Times New Roman" w:hAnsi="Times New Roman"/>
          <w:color w:val="000000"/>
          <w:sz w:val="31"/>
        </w:rPr>
        <w:t xml:space="preserve"> Definitions.</w:t>
      </w:r>
      <w:bookmarkEnd w:id="2"/>
    </w:p>
    <w:p>
      <w:pPr>
        <w:pStyle w:val="Normal"/>
        <w:pBdr>
          <w:top w:space="5"/>
          <w:left w:space="5"/>
          <w:bottom w:space="5"/>
          <w:right w:space="5"/>
        </w:pBdr>
        <w:spacing w:after="0"/>
        <w:ind w:left="225"/>
        <w:jc w:val="left"/>
      </w:pPr>
      <w:r>
        <w:rPr>
          <w:rFonts w:ascii="Times New Roman" w:hAnsi="Times New Roman"/>
          <w:i/>
          <w:color w:val="000000"/>
        </w:rPr>
        <w:t>“Acquisition Strategy Review Panel (ASRP)”</w:t>
      </w:r>
      <w:r>
        <w:rPr>
          <w:rFonts w:ascii="Times New Roman" w:hAnsi="Times New Roman"/>
          <w:color w:val="000000"/>
        </w:rP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i/>
          <w:color w:val="000000"/>
        </w:rPr>
        <w:t>“Bridge action or bridge contract”</w:t>
      </w:r>
      <w:r>
        <w:rPr>
          <w:rFonts w:ascii="Times New Roman" w:hAnsi="Times New Roman"/>
          <w:color w:val="000000"/>
        </w:rPr>
        <w:t xml:space="preserve"> 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w:pPr>
        <w:pStyle w:val="Normal"/>
        <w:pBdr>
          <w:top w:space="5"/>
          <w:left w:space="5"/>
          <w:bottom w:space="5"/>
          <w:right w:space="5"/>
        </w:pBdr>
        <w:spacing w:after="0"/>
        <w:ind w:left="225"/>
        <w:jc w:val="left"/>
      </w:pPr>
      <w:hyperlink r:id="Re73cb3dff3f84977">
        <w:r>
          <w:rPr>
            <w:rStyle w:val="Hyperlink"/>
            <w:rFonts w:ascii="Times New Roman" w:hAnsi="Times New Roman"/>
            <w:color w:val="0000ff"/>
            <w:u w:val="single"/>
          </w:rPr>
          <w:t/>
        </w:r>
        <w:r>
          <w:rPr>
            <w:rFonts w:ascii="Times New Roman" w:hAnsi="Times New Roman"/>
            <w:color w:val="0000ff"/>
            <w:u w:val="single"/>
          </w:rPr>
          <w:t>Joint Deputy Defense Chief Management Officer and Undersecretary of Defense for Acquisition and Sustainment memorandum, SUBJECT: Bridge Action Reduction Measures and Reporting Requirement, dated January 31, 2018, Attachment 1</w:t>
        </w:r>
      </w:hyperlink>
    </w:p>
    <w:p>
      <w:pPr>
        <w:pStyle w:val="Normal"/>
        <w:pBdr>
          <w:top w:space="5"/>
          <w:left w:space="5"/>
          <w:bottom w:space="5"/>
          <w:right w:space="5"/>
        </w:pBdr>
        <w:spacing w:after="0"/>
        <w:ind w:left="225"/>
        <w:jc w:val="left"/>
      </w:pPr>
      <w:r>
        <w:rPr>
          <w:rFonts w:ascii="Times New Roman" w:hAnsi="Times New Roman"/>
          <w:color w:val="000000"/>
        </w:rPr>
        <w:t>(</w:t>
      </w:r>
      <w:hyperlink r:id="Raef6e4225df243e3">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Chief of the Contracting Office</w:t>
      </w:r>
      <w:r>
        <w:rPr>
          <w:rFonts w:ascii="Times New Roman" w:hAnsi="Times New Roman"/>
          <w:color w:val="000000"/>
        </w:rPr>
        <w:t xml:space="preserve"> </w:t>
      </w:r>
      <w:r>
        <w:rPr>
          <w:rFonts w:ascii="Times New Roman" w:hAnsi="Times New Roman"/>
          <w:i/>
          <w:color w:val="000000"/>
        </w:rPr>
        <w:t>(CCO)</w:t>
      </w:r>
      <w:r>
        <w:rPr>
          <w:rFonts w:ascii="Times New Roman" w:hAnsi="Times New Roman"/>
          <w:color w:val="000000"/>
        </w:rPr>
        <w:t>” means a Government employee with certification in the acquisition career field who has direct managerial responsibility for the operation of a contracting office as defined in FAR 2.1. CCOs are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25"/>
        <w:gridCol w:w="3513"/>
        <w:gridCol w:w="2424"/>
      </w:tblGrid>
      <w:tr>
        <w:trPr>
          <w:trHeight w:val="810"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r>
              <w:rPr>
                <w:rFonts w:ascii="Times New Roman" w:hAnsi="Times New Roman"/>
                <w:b/>
                <w:i w:val="false"/>
                <w:color w:val="000000"/>
                <w:sz w:val="22"/>
              </w:rPr>
              <w:t xml:space="preserve"> </w:t>
            </w:r>
            <w:r>
              <w:rPr>
                <w:rFonts w:ascii="Times New Roman" w:hAnsi="Times New Roman"/>
                <w:b/>
                <w:i w:val="false"/>
                <w:color w:val="000000"/>
                <w:sz w:val="22"/>
              </w:rPr>
              <w:t>Activity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CCO</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Supplier Operations at Richmond (FA and FM)</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Supplier Operations</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Strategic Acquisition at Richmond (A)</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Strategic Acquisition</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Ogden (AU)</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Oklahoma City (AO)</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Warner Robins (AW)</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Philadelphia (AP)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Huntsville (AH)</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 Procurement Process Support Directorate (BP)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Warren (ZG)</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Aberdeen (ZL)</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Albany (ZB)</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Maritime at Mechanicsburg (ZI)</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187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 (includes Medical, Subsistence, Clothing and Textile (C&amp;T), Construction and Equipment (C&amp;E), and Industrial Hardware Supply Chains; DLA Troop Support Europe and Africa; and DLA Troop Support Pacific)</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Acquisition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Contracting Services Office (including locations at Philadelphia, Richmond, Columbus, Fort Belvoir, and Battle Creek)</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DLA Contracting Services Office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Disposition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Acquisition Directorate</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Distribution</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Contracting Division</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Strategic Materials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of Contracting</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Document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Contracting</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Contingency Acquisition Support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Contingency Contracting Office</w:t>
            </w:r>
          </w:p>
        </w:tc>
      </w:tr>
    </w:tbl>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Collaboration folders</w:t>
      </w:r>
      <w:r>
        <w:rPr>
          <w:rFonts w:ascii="Times New Roman" w:hAnsi="Times New Roman"/>
          <w:color w:val="000000"/>
        </w:rPr>
        <w:t>”, also known as cFolders, means the DLA point of access to technical data associated with open solicitations and the staging area for technical data for other projects not associated with open solicitations.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Controlled unclassified information (CUI)</w:t>
      </w:r>
      <w:r>
        <w:rPr>
          <w:rFonts w:ascii="Times New Roman" w:hAnsi="Times New Roman"/>
          <w:color w:val="000000"/>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DLA Export Control Technical Data Access</w:t>
      </w:r>
      <w:r>
        <w:rPr>
          <w:rFonts w:ascii="Times New Roman" w:hAnsi="Times New Roman"/>
          <w:color w:val="000000"/>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Head</w:t>
      </w:r>
      <w:r>
        <w:rPr>
          <w:rFonts w:ascii="Times New Roman" w:hAnsi="Times New Roman"/>
          <w:i/>
          <w:color w:val="000000"/>
        </w:rPr>
        <w:t>of</w:t>
      </w:r>
      <w:r>
        <w:rPr>
          <w:rFonts w:ascii="Times New Roman" w:hAnsi="Times New Roman"/>
          <w:i/>
          <w:color w:val="000000"/>
        </w:rPr>
        <w:t>agency</w:t>
      </w:r>
      <w:r>
        <w:rPr>
          <w:rFonts w:ascii="Times New Roman" w:hAnsi="Times New Roman"/>
          <w:color w:val="000000"/>
        </w:rPr>
        <w:t>” or “</w:t>
      </w:r>
      <w:r>
        <w:rPr>
          <w:rFonts w:ascii="Times New Roman" w:hAnsi="Times New Roman"/>
          <w:i/>
          <w:color w:val="000000"/>
        </w:rPr>
        <w:t>agency</w:t>
      </w:r>
      <w:r>
        <w:rPr>
          <w:rFonts w:ascii="Times New Roman" w:hAnsi="Times New Roman"/>
          <w:i/>
          <w:color w:val="000000"/>
        </w:rPr>
        <w:t>head</w:t>
      </w:r>
      <w:r>
        <w:rPr>
          <w:rFonts w:ascii="Times New Roman" w:hAnsi="Times New Roman"/>
          <w:color w:val="000000"/>
        </w:rPr>
        <w:t>” means the DLA Acquisition Director.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Enhanced validation</w:t>
      </w:r>
      <w:r>
        <w:rPr>
          <w:rFonts w:ascii="Times New Roman" w:hAnsi="Times New Roman"/>
          <w:color w:val="000000"/>
        </w:rPr>
        <w:t>” means the process used to vet contractors before the DLA controlling authority approves access to DLA export-controlled data. This also refers to the enhanced validation requirement in the DLA Master Solicitation for Automated Simplified Acquisitions.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Integrated Acquisition Review Board (IARB)</w:t>
      </w:r>
      <w:r>
        <w:rPr>
          <w:rFonts w:ascii="Times New Roman" w:hAnsi="Times New Roman"/>
          <w:color w:val="000000"/>
        </w:rP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JCP Certification</w:t>
      </w:r>
      <w:r>
        <w:rPr>
          <w:rFonts w:ascii="Times New Roman" w:hAnsi="Times New Roman"/>
          <w:color w:val="000000"/>
        </w:rPr>
        <w:t>” means the United States/Canada Joint Certification Program (JCP). Contractors must have an active JCP certification to obtain access to unclassified technical data disclosing critical technology controlled in the United States.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Major Subordinate Command (MSC)</w:t>
      </w:r>
      <w:r>
        <w:rPr>
          <w:rFonts w:ascii="Times New Roman" w:hAnsi="Times New Roman"/>
          <w:color w:val="000000"/>
        </w:rPr>
        <w:t>” means the following six DLA field organizations: DLA Aviation, DLA Land and Maritime, DLA Energy, DLA Troop Support, DLA Disposition, and DLA Distribution.</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Procuring Organizations</w:t>
      </w:r>
      <w:r>
        <w:rPr>
          <w:rFonts w:ascii="Times New Roman" w:hAnsi="Times New Roman"/>
          <w:color w:val="000000"/>
        </w:rPr>
        <w:t>” means all DLA activities with contracting authority, and includes both contracting activities and contracting offices.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Strategic contracts (STRATCON</w:t>
      </w:r>
      <w:r>
        <w:rPr>
          <w:rFonts w:ascii="Times New Roman" w:hAnsi="Times New Roman"/>
          <w:color w:val="000000"/>
        </w:rPr>
        <w:t>”</w:t>
      </w:r>
      <w:r>
        <w:rPr>
          <w:rFonts w:ascii="Times New Roman" w:hAnsi="Times New Roman"/>
          <w:i/>
          <w:color w:val="000000"/>
        </w:rPr>
        <w:t>)</w:t>
      </w:r>
      <w:r>
        <w:rPr>
          <w:rFonts w:ascii="Times New Roman" w:hAnsi="Times New Roman"/>
          <w:color w:val="000000"/>
        </w:rPr>
        <w:t xml:space="preserve"> means those acquisitions that represent the highest risk and impact to mission criticality, warfighter operational support, financial investment, and stewardship responsibilities. Strategic contracts may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Acquisitions subject to DoD Peer Review thresholds;</w:t>
      </w:r>
    </w:p>
    <w:p>
      <w:pPr>
        <w:pBdr>
          <w:top w:space="5"/>
          <w:left w:space="5"/>
          <w:bottom w:space="5"/>
          <w:right w:space="5"/>
        </w:pBdr>
        <w:spacing w:after="0"/>
        <w:ind w:left="585"/>
        <w:jc w:val="left"/>
      </w:pPr>
      <w:r>
        <w:rPr>
          <w:rFonts w:ascii="Times New Roman" w:hAnsi="Times New Roman"/>
          <w:b w:val="false"/>
          <w:i w:val="false"/>
          <w:color w:val="000000"/>
          <w:sz w:val="22"/>
        </w:rPr>
        <w:t>(2) Prime Vendor/Tailored Logistics Support;</w:t>
      </w:r>
    </w:p>
    <w:p>
      <w:pPr>
        <w:pBdr>
          <w:top w:space="5"/>
          <w:left w:space="5"/>
          <w:bottom w:space="5"/>
          <w:right w:space="5"/>
        </w:pBdr>
        <w:spacing w:after="0"/>
        <w:ind w:left="585"/>
        <w:jc w:val="left"/>
      </w:pPr>
      <w:r>
        <w:rPr>
          <w:rFonts w:ascii="Times New Roman" w:hAnsi="Times New Roman"/>
          <w:b w:val="false"/>
          <w:i w:val="false"/>
          <w:color w:val="000000"/>
          <w:sz w:val="22"/>
        </w:rPr>
        <w:t>(3) Performance-Based Logistics;</w:t>
      </w:r>
    </w:p>
    <w:p>
      <w:pPr>
        <w:pBdr>
          <w:top w:space="5"/>
          <w:left w:space="5"/>
          <w:bottom w:space="5"/>
          <w:right w:space="5"/>
        </w:pBdr>
        <w:spacing w:after="0"/>
        <w:ind w:left="585"/>
        <w:jc w:val="left"/>
      </w:pPr>
      <w:r>
        <w:rPr>
          <w:rFonts w:ascii="Times New Roman" w:hAnsi="Times New Roman"/>
          <w:b w:val="false"/>
          <w:i w:val="false"/>
          <w:color w:val="000000"/>
          <w:sz w:val="22"/>
        </w:rPr>
        <w:t>(4) Implementation of Captains of Industry recommendations and/or initiatives;</w:t>
      </w:r>
    </w:p>
    <w:p>
      <w:pPr>
        <w:pBdr>
          <w:top w:space="5"/>
          <w:left w:space="5"/>
          <w:bottom w:space="5"/>
          <w:right w:space="5"/>
        </w:pBdr>
        <w:spacing w:after="0"/>
        <w:ind w:left="585"/>
        <w:jc w:val="left"/>
      </w:pPr>
      <w:r>
        <w:rPr>
          <w:rFonts w:ascii="Times New Roman" w:hAnsi="Times New Roman"/>
          <w:b w:val="false"/>
          <w:i w:val="false"/>
          <w:color w:val="000000"/>
          <w:sz w:val="22"/>
        </w:rPr>
        <w:t>(5) Bridge contracts for existing Strategic Contracts;</w:t>
      </w:r>
    </w:p>
    <w:p>
      <w:pPr>
        <w:pBdr>
          <w:top w:space="5"/>
          <w:left w:space="5"/>
          <w:bottom w:space="5"/>
          <w:right w:space="5"/>
        </w:pBdr>
        <w:spacing w:after="0"/>
        <w:ind w:left="585"/>
        <w:jc w:val="left"/>
      </w:pPr>
      <w:r>
        <w:rPr>
          <w:rFonts w:ascii="Times New Roman" w:hAnsi="Times New Roman"/>
          <w:b w:val="false"/>
          <w:i w:val="false"/>
          <w:color w:val="000000"/>
          <w:sz w:val="22"/>
        </w:rPr>
        <w:t>(6) OCONUS acquisitions critical to current contingencies or major military operations;</w:t>
      </w:r>
    </w:p>
    <w:p>
      <w:pPr>
        <w:pBdr>
          <w:top w:space="5"/>
          <w:left w:space="5"/>
          <w:bottom w:space="5"/>
          <w:right w:space="5"/>
        </w:pBdr>
        <w:spacing w:after="0"/>
        <w:ind w:left="585"/>
        <w:jc w:val="left"/>
      </w:pPr>
      <w:r>
        <w:rPr>
          <w:rFonts w:ascii="Times New Roman" w:hAnsi="Times New Roman"/>
          <w:b w:val="false"/>
          <w:i w:val="false"/>
          <w:color w:val="000000"/>
          <w:sz w:val="22"/>
        </w:rPr>
        <w:t>(7) Acquisitions as identified by the DLA Director, DLA Vice Director, SPE, or SSM, including Strategic Partnerships with other Agencies, Undefinitized Contract Actions (UCA), and/or specified corporate contracts; and</w:t>
      </w:r>
    </w:p>
    <w:p>
      <w:pPr>
        <w:pBdr>
          <w:top w:space="5"/>
          <w:left w:space="5"/>
          <w:bottom w:space="5"/>
          <w:right w:space="5"/>
        </w:pBdr>
        <w:spacing w:after="0"/>
        <w:ind w:left="585"/>
        <w:jc w:val="left"/>
      </w:pPr>
      <w:r>
        <w:rPr>
          <w:rFonts w:ascii="Times New Roman" w:hAnsi="Times New Roman"/>
          <w:b w:val="false"/>
          <w:i w:val="false"/>
          <w:color w:val="000000"/>
          <w:sz w:val="22"/>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Tailored Logistics Support (TLS) Contract</w:t>
      </w:r>
      <w:r>
        <w:rPr>
          <w:rFonts w:ascii="Times New Roman" w:hAnsi="Times New Roman"/>
          <w:color w:val="000000"/>
        </w:rPr>
        <w:t>” means an acquisition that targets support to the point of the customer’s need, and supports the full range of logistics functions, including shipping, receiving, storage, inventory management, and transportation or traffic visibility, to achieve a solution for a customer.</w:t>
      </w:r>
    </w:p>
    <w:sectPr>
      <w:pgSz w:w="12240" w:h="15840" w:code="1"/>
      <w:pgMar w:top="1440" w:right="1440" w:bottom="1440" w:left="1440"/>
      <w:pgNumType w:start="1"/>
      <w:footerReference w:type="default" r:id="R22b8bb1a9bd645c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2b8bb1a9bd645c1" /><Relationship Type="http://schemas.openxmlformats.org/officeDocument/2006/relationships/hyperlink" Target="SUBPART_2.1.dita#DLAD_SUBPART_2_1" TargetMode="External" Id="R06d60d573c644669" /><Relationship Type="http://schemas.openxmlformats.org/officeDocument/2006/relationships/hyperlink" Target="2.101.dita#DLAD_2_101" TargetMode="External" Id="R66ae60436e0e4770"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e73cb3dff3f84977"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aef6e4225df243e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