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D9" w:rsidRPr="00C545F4" w:rsidRDefault="00E451D9" w:rsidP="00E451D9">
      <w:pPr>
        <w:tabs>
          <w:tab w:val="left" w:pos="360"/>
          <w:tab w:val="left" w:pos="1440"/>
        </w:tabs>
        <w:spacing w:line="480" w:lineRule="auto"/>
        <w:rPr>
          <w:rFonts w:ascii="Courier New" w:hAnsi="Courier New" w:cs="Courier New"/>
          <w:b/>
        </w:rPr>
      </w:pPr>
      <w:r w:rsidRPr="00C545F4">
        <w:rPr>
          <w:rFonts w:ascii="Courier New" w:hAnsi="Courier New" w:cs="Courier New"/>
          <w:b/>
        </w:rPr>
        <w:t>DEPARTMENT OF DEFENSE</w:t>
      </w:r>
    </w:p>
    <w:p w:rsidR="001A47FC" w:rsidRPr="00C545F4" w:rsidRDefault="00E451D9" w:rsidP="00E451D9">
      <w:pPr>
        <w:tabs>
          <w:tab w:val="left" w:pos="360"/>
        </w:tabs>
        <w:spacing w:line="480" w:lineRule="auto"/>
        <w:rPr>
          <w:rFonts w:ascii="Courier New" w:hAnsi="Courier New" w:cs="Courier New"/>
          <w:b/>
        </w:rPr>
      </w:pPr>
      <w:r w:rsidRPr="00C545F4">
        <w:rPr>
          <w:rFonts w:ascii="Courier New" w:hAnsi="Courier New" w:cs="Courier New"/>
          <w:b/>
        </w:rPr>
        <w:t>GENERAL SERVICES ADMINISTRATION</w:t>
      </w:r>
    </w:p>
    <w:p w:rsidR="00E451D9" w:rsidRPr="00C545F4" w:rsidRDefault="00E451D9" w:rsidP="00E451D9">
      <w:pPr>
        <w:tabs>
          <w:tab w:val="left" w:pos="360"/>
        </w:tabs>
        <w:spacing w:line="480" w:lineRule="auto"/>
        <w:rPr>
          <w:rFonts w:ascii="Courier New" w:hAnsi="Courier New" w:cs="Courier New"/>
          <w:b/>
        </w:rPr>
      </w:pPr>
      <w:r w:rsidRPr="00C545F4">
        <w:rPr>
          <w:rFonts w:ascii="Courier New" w:hAnsi="Courier New" w:cs="Courier New"/>
          <w:b/>
        </w:rPr>
        <w:t>NATIONAL AERONAUTICS AND SPACE ADMINISTRATION</w:t>
      </w:r>
    </w:p>
    <w:p w:rsidR="00E451D9" w:rsidRPr="00C545F4" w:rsidRDefault="00E451D9" w:rsidP="00E451D9">
      <w:pPr>
        <w:tabs>
          <w:tab w:val="left" w:pos="360"/>
        </w:tabs>
        <w:spacing w:line="480" w:lineRule="auto"/>
        <w:rPr>
          <w:rFonts w:ascii="Courier New" w:hAnsi="Courier New" w:cs="Courier New"/>
          <w:b/>
        </w:rPr>
      </w:pPr>
      <w:r w:rsidRPr="00C545F4">
        <w:rPr>
          <w:rFonts w:ascii="Courier New" w:hAnsi="Courier New" w:cs="Courier New"/>
          <w:b/>
        </w:rPr>
        <w:t>48 CFR Part</w:t>
      </w:r>
      <w:r w:rsidR="006145FC" w:rsidRPr="00C545F4">
        <w:rPr>
          <w:rFonts w:ascii="Courier New" w:hAnsi="Courier New" w:cs="Courier New"/>
          <w:b/>
        </w:rPr>
        <w:t>s</w:t>
      </w:r>
      <w:r w:rsidRPr="00C545F4">
        <w:rPr>
          <w:rFonts w:ascii="Courier New" w:hAnsi="Courier New" w:cs="Courier New"/>
          <w:b/>
        </w:rPr>
        <w:t xml:space="preserve"> </w:t>
      </w:r>
      <w:r w:rsidR="00C446B4" w:rsidRPr="00C545F4">
        <w:rPr>
          <w:rFonts w:ascii="Courier New" w:hAnsi="Courier New" w:cs="Courier New"/>
          <w:b/>
        </w:rPr>
        <w:t>1</w:t>
      </w:r>
      <w:r w:rsidR="006145FC" w:rsidRPr="00C545F4">
        <w:rPr>
          <w:rFonts w:ascii="Courier New" w:hAnsi="Courier New" w:cs="Courier New"/>
          <w:b/>
        </w:rPr>
        <w:t xml:space="preserve">, </w:t>
      </w:r>
      <w:r w:rsidR="00C446B4" w:rsidRPr="00C545F4">
        <w:rPr>
          <w:rFonts w:ascii="Courier New" w:hAnsi="Courier New" w:cs="Courier New"/>
          <w:b/>
        </w:rPr>
        <w:t>4</w:t>
      </w:r>
      <w:r w:rsidR="006145FC" w:rsidRPr="00C545F4">
        <w:rPr>
          <w:rFonts w:ascii="Courier New" w:hAnsi="Courier New" w:cs="Courier New"/>
          <w:b/>
        </w:rPr>
        <w:t>, 1</w:t>
      </w:r>
      <w:r w:rsidR="00C446B4" w:rsidRPr="00C545F4">
        <w:rPr>
          <w:rFonts w:ascii="Courier New" w:hAnsi="Courier New" w:cs="Courier New"/>
          <w:b/>
        </w:rPr>
        <w:t>3</w:t>
      </w:r>
      <w:r w:rsidR="006145FC" w:rsidRPr="00C545F4">
        <w:rPr>
          <w:rFonts w:ascii="Courier New" w:hAnsi="Courier New" w:cs="Courier New"/>
          <w:b/>
        </w:rPr>
        <w:t xml:space="preserve">, </w:t>
      </w:r>
      <w:r w:rsidR="00C446B4" w:rsidRPr="00C545F4">
        <w:rPr>
          <w:rFonts w:ascii="Courier New" w:hAnsi="Courier New" w:cs="Courier New"/>
          <w:b/>
        </w:rPr>
        <w:t>39</w:t>
      </w:r>
      <w:r w:rsidR="007916CA" w:rsidRPr="00C545F4">
        <w:rPr>
          <w:rFonts w:ascii="Courier New" w:hAnsi="Courier New" w:cs="Courier New"/>
          <w:b/>
        </w:rPr>
        <w:t xml:space="preserve">, </w:t>
      </w:r>
      <w:r w:rsidR="006145FC" w:rsidRPr="00C545F4">
        <w:rPr>
          <w:rFonts w:ascii="Courier New" w:hAnsi="Courier New" w:cs="Courier New"/>
          <w:b/>
        </w:rPr>
        <w:t xml:space="preserve">and </w:t>
      </w:r>
      <w:r w:rsidR="00C446B4" w:rsidRPr="00C545F4">
        <w:rPr>
          <w:rFonts w:ascii="Courier New" w:hAnsi="Courier New" w:cs="Courier New"/>
          <w:b/>
        </w:rPr>
        <w:t>5</w:t>
      </w:r>
      <w:r w:rsidR="006B5D90" w:rsidRPr="00C545F4">
        <w:rPr>
          <w:rFonts w:ascii="Courier New" w:hAnsi="Courier New" w:cs="Courier New"/>
          <w:b/>
        </w:rPr>
        <w:t>2</w:t>
      </w:r>
    </w:p>
    <w:p w:rsidR="00E451D9" w:rsidRPr="00C545F4" w:rsidRDefault="00673A25" w:rsidP="00E451D9">
      <w:pPr>
        <w:tabs>
          <w:tab w:val="left" w:pos="360"/>
        </w:tabs>
        <w:spacing w:line="480" w:lineRule="auto"/>
        <w:rPr>
          <w:rFonts w:ascii="Courier New" w:hAnsi="Courier New" w:cs="Courier New"/>
          <w:b/>
        </w:rPr>
      </w:pPr>
      <w:r w:rsidRPr="00C545F4">
        <w:rPr>
          <w:rFonts w:ascii="Courier New" w:hAnsi="Courier New" w:cs="Courier New"/>
          <w:b/>
        </w:rPr>
        <w:t>[</w:t>
      </w:r>
      <w:r w:rsidR="00A96861" w:rsidRPr="00C545F4">
        <w:rPr>
          <w:rFonts w:ascii="Courier New" w:hAnsi="Courier New" w:cs="Courier New"/>
          <w:b/>
        </w:rPr>
        <w:t xml:space="preserve">FAC </w:t>
      </w:r>
      <w:r w:rsidR="00A21C92">
        <w:rPr>
          <w:rFonts w:ascii="Courier New" w:hAnsi="Courier New" w:cs="Courier New"/>
          <w:b/>
        </w:rPr>
        <w:t>2019-06</w:t>
      </w:r>
      <w:r w:rsidR="00A96861" w:rsidRPr="00C545F4">
        <w:rPr>
          <w:rFonts w:ascii="Courier New" w:hAnsi="Courier New" w:cs="Courier New"/>
          <w:b/>
        </w:rPr>
        <w:t xml:space="preserve">; </w:t>
      </w:r>
      <w:r w:rsidR="00E451D9" w:rsidRPr="00C545F4">
        <w:rPr>
          <w:rFonts w:ascii="Courier New" w:hAnsi="Courier New" w:cs="Courier New"/>
          <w:b/>
        </w:rPr>
        <w:t>FAR Case 201</w:t>
      </w:r>
      <w:r w:rsidR="00C446B4" w:rsidRPr="00C545F4">
        <w:rPr>
          <w:rFonts w:ascii="Courier New" w:hAnsi="Courier New" w:cs="Courier New"/>
          <w:b/>
        </w:rPr>
        <w:t>8</w:t>
      </w:r>
      <w:r w:rsidR="00E451D9" w:rsidRPr="00C545F4">
        <w:rPr>
          <w:rFonts w:ascii="Courier New" w:hAnsi="Courier New" w:cs="Courier New"/>
          <w:b/>
        </w:rPr>
        <w:t>-0</w:t>
      </w:r>
      <w:r w:rsidR="00C446B4" w:rsidRPr="00C545F4">
        <w:rPr>
          <w:rFonts w:ascii="Courier New" w:hAnsi="Courier New" w:cs="Courier New"/>
          <w:b/>
        </w:rPr>
        <w:t>10</w:t>
      </w:r>
      <w:r w:rsidRPr="00C545F4">
        <w:rPr>
          <w:rFonts w:ascii="Courier New" w:hAnsi="Courier New" w:cs="Courier New"/>
          <w:b/>
        </w:rPr>
        <w:t xml:space="preserve">; </w:t>
      </w:r>
      <w:r w:rsidR="00A96861" w:rsidRPr="00C545F4">
        <w:rPr>
          <w:rFonts w:ascii="Courier New" w:hAnsi="Courier New" w:cs="Courier New"/>
          <w:b/>
        </w:rPr>
        <w:t xml:space="preserve">Item </w:t>
      </w:r>
      <w:r w:rsidR="00C14E14" w:rsidRPr="00C545F4">
        <w:rPr>
          <w:rFonts w:ascii="Courier New" w:hAnsi="Courier New" w:cs="Courier New"/>
          <w:b/>
        </w:rPr>
        <w:t>I</w:t>
      </w:r>
      <w:r w:rsidR="00A96861" w:rsidRPr="00C545F4">
        <w:rPr>
          <w:rFonts w:ascii="Courier New" w:hAnsi="Courier New" w:cs="Courier New"/>
          <w:b/>
        </w:rPr>
        <w:t xml:space="preserve">; </w:t>
      </w:r>
      <w:r w:rsidRPr="00C545F4">
        <w:rPr>
          <w:rFonts w:ascii="Courier New" w:hAnsi="Courier New" w:cs="Courier New"/>
          <w:b/>
        </w:rPr>
        <w:t xml:space="preserve">Docket No. </w:t>
      </w:r>
      <w:r w:rsidR="00052DBE">
        <w:rPr>
          <w:rFonts w:ascii="Courier New" w:hAnsi="Courier New" w:cs="Courier New"/>
          <w:b/>
        </w:rPr>
        <w:t>FAR</w:t>
      </w:r>
      <w:r w:rsidR="00F47DC2">
        <w:rPr>
          <w:rFonts w:ascii="Courier New" w:hAnsi="Courier New" w:cs="Courier New"/>
          <w:b/>
        </w:rPr>
        <w:t>-</w:t>
      </w:r>
      <w:bookmarkStart w:id="0" w:name="_GoBack"/>
      <w:bookmarkEnd w:id="0"/>
      <w:r w:rsidR="00A96861" w:rsidRPr="00C545F4">
        <w:rPr>
          <w:rFonts w:ascii="Courier New" w:hAnsi="Courier New" w:cs="Courier New"/>
          <w:b/>
        </w:rPr>
        <w:t>201</w:t>
      </w:r>
      <w:r w:rsidR="00C446B4" w:rsidRPr="00C545F4">
        <w:rPr>
          <w:rFonts w:ascii="Courier New" w:hAnsi="Courier New" w:cs="Courier New"/>
          <w:b/>
        </w:rPr>
        <w:t>8</w:t>
      </w:r>
      <w:r w:rsidRPr="00C545F4">
        <w:rPr>
          <w:rFonts w:ascii="Courier New" w:hAnsi="Courier New" w:cs="Courier New"/>
          <w:b/>
        </w:rPr>
        <w:t>-</w:t>
      </w:r>
      <w:r w:rsidR="00E445C3" w:rsidRPr="00C545F4">
        <w:rPr>
          <w:rFonts w:ascii="Courier New" w:hAnsi="Courier New" w:cs="Courier New"/>
          <w:b/>
        </w:rPr>
        <w:t>00</w:t>
      </w:r>
      <w:r w:rsidR="00C446B4" w:rsidRPr="00C545F4">
        <w:rPr>
          <w:rFonts w:ascii="Courier New" w:hAnsi="Courier New" w:cs="Courier New"/>
          <w:b/>
        </w:rPr>
        <w:t>10</w:t>
      </w:r>
      <w:r w:rsidRPr="00C545F4">
        <w:rPr>
          <w:rFonts w:ascii="Courier New" w:hAnsi="Courier New" w:cs="Courier New"/>
          <w:b/>
        </w:rPr>
        <w:t>, Seq</w:t>
      </w:r>
      <w:r w:rsidR="00A96861" w:rsidRPr="00C545F4">
        <w:rPr>
          <w:rFonts w:ascii="Courier New" w:hAnsi="Courier New" w:cs="Courier New"/>
          <w:b/>
        </w:rPr>
        <w:t>uence</w:t>
      </w:r>
      <w:r w:rsidRPr="00C545F4">
        <w:rPr>
          <w:rFonts w:ascii="Courier New" w:hAnsi="Courier New" w:cs="Courier New"/>
          <w:b/>
        </w:rPr>
        <w:t xml:space="preserve"> No. </w:t>
      </w:r>
      <w:r w:rsidR="00A96861" w:rsidRPr="00C545F4">
        <w:rPr>
          <w:rFonts w:ascii="Courier New" w:hAnsi="Courier New" w:cs="Courier New"/>
          <w:b/>
        </w:rPr>
        <w:t>1</w:t>
      </w:r>
      <w:r w:rsidRPr="00C545F4">
        <w:rPr>
          <w:rFonts w:ascii="Courier New" w:hAnsi="Courier New" w:cs="Courier New"/>
          <w:b/>
        </w:rPr>
        <w:t>]</w:t>
      </w:r>
    </w:p>
    <w:p w:rsidR="00E451D9" w:rsidRPr="00C545F4" w:rsidRDefault="00673A25" w:rsidP="00E451D9">
      <w:pPr>
        <w:tabs>
          <w:tab w:val="left" w:pos="360"/>
        </w:tabs>
        <w:spacing w:line="480" w:lineRule="auto"/>
        <w:rPr>
          <w:rFonts w:ascii="Courier New" w:hAnsi="Courier New" w:cs="Courier New"/>
          <w:b/>
        </w:rPr>
      </w:pPr>
      <w:r w:rsidRPr="00C545F4">
        <w:rPr>
          <w:rFonts w:ascii="Courier New" w:hAnsi="Courier New" w:cs="Courier New"/>
          <w:b/>
        </w:rPr>
        <w:t>RIN 9000-</w:t>
      </w:r>
      <w:r w:rsidR="00A96861" w:rsidRPr="00C545F4">
        <w:rPr>
          <w:rFonts w:ascii="Courier New" w:hAnsi="Courier New" w:cs="Courier New"/>
          <w:b/>
        </w:rPr>
        <w:t>AN</w:t>
      </w:r>
      <w:r w:rsidR="00CD26F8" w:rsidRPr="00C545F4">
        <w:rPr>
          <w:rFonts w:ascii="Courier New" w:hAnsi="Courier New" w:cs="Courier New"/>
          <w:b/>
        </w:rPr>
        <w:t>64</w:t>
      </w:r>
    </w:p>
    <w:p w:rsidR="00E451D9" w:rsidRPr="00C545F4" w:rsidRDefault="00E451D9" w:rsidP="00673A25">
      <w:pPr>
        <w:pStyle w:val="BodyText2"/>
        <w:tabs>
          <w:tab w:val="clear" w:pos="1440"/>
          <w:tab w:val="left" w:pos="360"/>
        </w:tabs>
        <w:spacing w:line="480" w:lineRule="auto"/>
        <w:ind w:left="0" w:firstLine="0"/>
        <w:rPr>
          <w:rFonts w:ascii="Courier New" w:hAnsi="Courier New" w:cs="Courier New"/>
          <w:sz w:val="24"/>
          <w:szCs w:val="24"/>
        </w:rPr>
      </w:pPr>
      <w:r w:rsidRPr="00C545F4">
        <w:rPr>
          <w:rFonts w:ascii="Courier New" w:hAnsi="Courier New" w:cs="Courier New"/>
          <w:sz w:val="24"/>
          <w:szCs w:val="24"/>
        </w:rPr>
        <w:t xml:space="preserve">Federal Acquisition Regulation: </w:t>
      </w:r>
      <w:r w:rsidR="00A96861" w:rsidRPr="00C545F4">
        <w:rPr>
          <w:rFonts w:ascii="Courier New" w:hAnsi="Courier New" w:cs="Courier New"/>
          <w:sz w:val="24"/>
          <w:szCs w:val="24"/>
          <w:lang w:val="en-US"/>
        </w:rPr>
        <w:t xml:space="preserve"> </w:t>
      </w:r>
      <w:r w:rsidR="00C446B4" w:rsidRPr="00C545F4">
        <w:rPr>
          <w:rFonts w:ascii="Courier New" w:hAnsi="Courier New" w:cs="Courier New"/>
          <w:sz w:val="24"/>
          <w:szCs w:val="24"/>
        </w:rPr>
        <w:t>Use of Products and Services of Kaspersky Lab</w:t>
      </w:r>
    </w:p>
    <w:p w:rsidR="00E451D9" w:rsidRPr="00835328" w:rsidRDefault="00E451D9" w:rsidP="00E451D9">
      <w:pPr>
        <w:tabs>
          <w:tab w:val="left" w:pos="360"/>
          <w:tab w:val="left" w:pos="1440"/>
        </w:tabs>
        <w:spacing w:line="480" w:lineRule="auto"/>
        <w:rPr>
          <w:rFonts w:ascii="Courier New" w:hAnsi="Courier New" w:cs="Courier New"/>
          <w:b/>
        </w:rPr>
      </w:pPr>
      <w:r w:rsidRPr="002416FC">
        <w:rPr>
          <w:rFonts w:ascii="Courier New" w:hAnsi="Courier New" w:cs="Courier New"/>
          <w:b/>
        </w:rPr>
        <w:t>AGENC</w:t>
      </w:r>
      <w:r w:rsidR="00F42DC1" w:rsidRPr="002416FC">
        <w:rPr>
          <w:rFonts w:ascii="Courier New" w:hAnsi="Courier New" w:cs="Courier New"/>
          <w:b/>
        </w:rPr>
        <w:t>Y</w:t>
      </w:r>
      <w:r w:rsidRPr="002416FC">
        <w:rPr>
          <w:rFonts w:ascii="Courier New" w:hAnsi="Courier New" w:cs="Courier New"/>
        </w:rPr>
        <w:t>:</w:t>
      </w:r>
      <w:r w:rsidRPr="00835328">
        <w:rPr>
          <w:rFonts w:ascii="Courier New" w:hAnsi="Courier New" w:cs="Courier New"/>
        </w:rPr>
        <w:t xml:space="preserve">  Department of Defense (</w:t>
      </w:r>
      <w:proofErr w:type="gramStart"/>
      <w:r w:rsidRPr="00835328">
        <w:rPr>
          <w:rFonts w:ascii="Courier New" w:hAnsi="Courier New" w:cs="Courier New"/>
        </w:rPr>
        <w:t>DoD</w:t>
      </w:r>
      <w:proofErr w:type="gramEnd"/>
      <w:r w:rsidRPr="00835328">
        <w:rPr>
          <w:rFonts w:ascii="Courier New" w:hAnsi="Courier New" w:cs="Courier New"/>
        </w:rPr>
        <w:t>), General Services Administration (GSA), and National Aeronautics and Space Administration (NASA).</w:t>
      </w:r>
    </w:p>
    <w:p w:rsidR="00E451D9" w:rsidRPr="00835328" w:rsidRDefault="00E451D9" w:rsidP="00E451D9">
      <w:pPr>
        <w:tabs>
          <w:tab w:val="left" w:pos="360"/>
          <w:tab w:val="left" w:pos="1440"/>
        </w:tabs>
        <w:spacing w:line="480" w:lineRule="auto"/>
        <w:rPr>
          <w:rFonts w:ascii="Courier New" w:hAnsi="Courier New" w:cs="Courier New"/>
          <w:b/>
        </w:rPr>
      </w:pPr>
      <w:r w:rsidRPr="00835328">
        <w:rPr>
          <w:rFonts w:ascii="Courier New" w:hAnsi="Courier New" w:cs="Courier New"/>
          <w:b/>
        </w:rPr>
        <w:t>ACTION</w:t>
      </w:r>
      <w:r w:rsidRPr="00835328">
        <w:rPr>
          <w:rFonts w:ascii="Courier New" w:hAnsi="Courier New" w:cs="Courier New"/>
        </w:rPr>
        <w:t xml:space="preserve">:  </w:t>
      </w:r>
      <w:r w:rsidR="007B1E86">
        <w:rPr>
          <w:rFonts w:ascii="Courier New" w:hAnsi="Courier New" w:cs="Courier New"/>
        </w:rPr>
        <w:t>Final</w:t>
      </w:r>
      <w:r w:rsidRPr="00835328">
        <w:rPr>
          <w:rFonts w:ascii="Courier New" w:hAnsi="Courier New" w:cs="Courier New"/>
        </w:rPr>
        <w:t xml:space="preserve"> rule.</w:t>
      </w:r>
    </w:p>
    <w:p w:rsidR="00E451D9" w:rsidRPr="00E3522A" w:rsidRDefault="00E451D9" w:rsidP="00E451D9">
      <w:pPr>
        <w:tabs>
          <w:tab w:val="left" w:pos="360"/>
        </w:tabs>
        <w:spacing w:line="480" w:lineRule="auto"/>
        <w:rPr>
          <w:rFonts w:ascii="Courier New" w:hAnsi="Courier New" w:cs="Courier New"/>
        </w:rPr>
      </w:pPr>
      <w:r w:rsidRPr="00835328">
        <w:rPr>
          <w:rFonts w:ascii="Courier New" w:hAnsi="Courier New" w:cs="Courier New"/>
          <w:b/>
        </w:rPr>
        <w:t>SUMMARY</w:t>
      </w:r>
      <w:r w:rsidRPr="00835328">
        <w:rPr>
          <w:rFonts w:ascii="Courier New" w:hAnsi="Courier New" w:cs="Courier New"/>
        </w:rPr>
        <w:t xml:space="preserve">:  </w:t>
      </w:r>
      <w:proofErr w:type="gramStart"/>
      <w:r w:rsidR="00C446B4" w:rsidRPr="00C446B4">
        <w:rPr>
          <w:rFonts w:ascii="Courier New" w:hAnsi="Courier New" w:cs="Courier New"/>
        </w:rPr>
        <w:t>DoD</w:t>
      </w:r>
      <w:proofErr w:type="gramEnd"/>
      <w:r w:rsidR="00C446B4" w:rsidRPr="00C446B4">
        <w:rPr>
          <w:rFonts w:ascii="Courier New" w:hAnsi="Courier New" w:cs="Courier New"/>
        </w:rPr>
        <w:t>, GSA, and NASA are adopting as final, without change, an interim rule amending the Federal Acquisition Regulation (FAR) to implement a section of the National Defense Authorization Act (NDAA) for Fiscal Year (FY) 2018.</w:t>
      </w:r>
    </w:p>
    <w:p w:rsidR="00695E69" w:rsidRPr="00835328" w:rsidRDefault="00E451D9" w:rsidP="00E451D9">
      <w:pPr>
        <w:tabs>
          <w:tab w:val="left" w:pos="360"/>
          <w:tab w:val="left" w:pos="1440"/>
        </w:tabs>
        <w:spacing w:line="480" w:lineRule="auto"/>
        <w:rPr>
          <w:rFonts w:ascii="Courier New" w:hAnsi="Courier New" w:cs="Courier New"/>
        </w:rPr>
      </w:pPr>
      <w:r w:rsidRPr="00835328">
        <w:rPr>
          <w:rFonts w:ascii="Courier New" w:hAnsi="Courier New" w:cs="Courier New"/>
          <w:b/>
        </w:rPr>
        <w:t>DATE</w:t>
      </w:r>
      <w:r w:rsidR="006E1447">
        <w:rPr>
          <w:rFonts w:ascii="Courier New" w:hAnsi="Courier New" w:cs="Courier New"/>
          <w:b/>
        </w:rPr>
        <w:t>S</w:t>
      </w:r>
      <w:r w:rsidRPr="00835328">
        <w:rPr>
          <w:rFonts w:ascii="Courier New" w:hAnsi="Courier New" w:cs="Courier New"/>
          <w:b/>
        </w:rPr>
        <w:t xml:space="preserve">:  </w:t>
      </w:r>
      <w:proofErr w:type="gramStart"/>
      <w:r w:rsidR="00695E69" w:rsidRPr="00EE545E">
        <w:rPr>
          <w:rFonts w:ascii="Courier New" w:hAnsi="Courier New" w:cs="Courier New"/>
          <w:u w:val="single"/>
        </w:rPr>
        <w:t>Effective</w:t>
      </w:r>
      <w:r w:rsidR="000507B0">
        <w:rPr>
          <w:rFonts w:ascii="Courier New" w:hAnsi="Courier New" w:cs="Courier New"/>
        </w:rPr>
        <w:t xml:space="preserve"> </w:t>
      </w:r>
      <w:r w:rsidR="00695E69">
        <w:rPr>
          <w:rFonts w:ascii="Courier New" w:hAnsi="Courier New" w:cs="Courier New"/>
          <w:b/>
        </w:rPr>
        <w:t xml:space="preserve"> </w:t>
      </w:r>
      <w:r w:rsidRPr="00835328">
        <w:rPr>
          <w:rFonts w:ascii="Courier New" w:hAnsi="Courier New" w:cs="Courier New"/>
          <w:b/>
        </w:rPr>
        <w:t>[</w:t>
      </w:r>
      <w:proofErr w:type="gramEnd"/>
      <w:r w:rsidRPr="00835328">
        <w:rPr>
          <w:rFonts w:ascii="Courier New" w:hAnsi="Courier New" w:cs="Courier New"/>
          <w:b/>
        </w:rPr>
        <w:t xml:space="preserve">Insert </w:t>
      </w:r>
      <w:r w:rsidR="006E1447">
        <w:rPr>
          <w:rFonts w:ascii="Courier New" w:hAnsi="Courier New" w:cs="Courier New"/>
          <w:b/>
        </w:rPr>
        <w:t>date</w:t>
      </w:r>
      <w:r w:rsidR="00695E69">
        <w:rPr>
          <w:rFonts w:ascii="Courier New" w:hAnsi="Courier New" w:cs="Courier New"/>
          <w:b/>
        </w:rPr>
        <w:t xml:space="preserve"> of publication in the </w:t>
      </w:r>
      <w:r w:rsidR="00695E69" w:rsidRPr="00AE0F1E">
        <w:rPr>
          <w:rFonts w:ascii="Courier New" w:hAnsi="Courier New" w:cs="Courier New"/>
          <w:b/>
          <w:u w:val="single"/>
        </w:rPr>
        <w:t>FEDERAL</w:t>
      </w:r>
      <w:r w:rsidR="00695E69">
        <w:rPr>
          <w:rFonts w:ascii="Courier New" w:hAnsi="Courier New" w:cs="Courier New"/>
          <w:b/>
        </w:rPr>
        <w:t xml:space="preserve"> </w:t>
      </w:r>
      <w:r w:rsidR="00695E69" w:rsidRPr="00AE0F1E">
        <w:rPr>
          <w:rFonts w:ascii="Courier New" w:hAnsi="Courier New" w:cs="Courier New"/>
          <w:b/>
          <w:u w:val="single"/>
        </w:rPr>
        <w:t>REGISTER</w:t>
      </w:r>
      <w:r w:rsidRPr="00835328">
        <w:rPr>
          <w:rFonts w:ascii="Courier New" w:hAnsi="Courier New" w:cs="Courier New"/>
          <w:b/>
        </w:rPr>
        <w:t>]</w:t>
      </w:r>
      <w:r w:rsidR="00695E69">
        <w:rPr>
          <w:rFonts w:ascii="Courier New" w:hAnsi="Courier New" w:cs="Courier New"/>
          <w:b/>
        </w:rPr>
        <w:t>.</w:t>
      </w:r>
      <w:r w:rsidRPr="00835328">
        <w:rPr>
          <w:rFonts w:ascii="Courier New" w:hAnsi="Courier New" w:cs="Courier New"/>
          <w:b/>
        </w:rPr>
        <w:t xml:space="preserve"> </w:t>
      </w:r>
    </w:p>
    <w:p w:rsidR="00E451D9" w:rsidRPr="00835328" w:rsidRDefault="00E451D9" w:rsidP="00E451D9">
      <w:pPr>
        <w:tabs>
          <w:tab w:val="left" w:pos="360"/>
          <w:tab w:val="left" w:pos="1440"/>
        </w:tabs>
        <w:spacing w:line="480" w:lineRule="auto"/>
        <w:rPr>
          <w:rFonts w:ascii="Courier New" w:hAnsi="Courier New" w:cs="Courier New"/>
        </w:rPr>
      </w:pPr>
      <w:r w:rsidRPr="00835328">
        <w:rPr>
          <w:rFonts w:ascii="Courier New" w:hAnsi="Courier New" w:cs="Courier New"/>
          <w:b/>
        </w:rPr>
        <w:t>FOR FURTHER INFORMATION CONTACT</w:t>
      </w:r>
      <w:r w:rsidRPr="00835328">
        <w:rPr>
          <w:rFonts w:ascii="Courier New" w:hAnsi="Courier New" w:cs="Courier New"/>
        </w:rPr>
        <w:t xml:space="preserve">:  </w:t>
      </w:r>
      <w:r w:rsidR="00C446B4" w:rsidRPr="00C446B4">
        <w:rPr>
          <w:rFonts w:ascii="Courier New" w:hAnsi="Courier New" w:cs="Courier New"/>
        </w:rPr>
        <w:t xml:space="preserve">Ms. </w:t>
      </w:r>
      <w:proofErr w:type="spellStart"/>
      <w:r w:rsidR="00C446B4" w:rsidRPr="00C446B4">
        <w:rPr>
          <w:rFonts w:ascii="Courier New" w:hAnsi="Courier New" w:cs="Courier New"/>
        </w:rPr>
        <w:t>Camara</w:t>
      </w:r>
      <w:proofErr w:type="spellEnd"/>
      <w:r w:rsidR="00C446B4" w:rsidRPr="00C446B4">
        <w:rPr>
          <w:rFonts w:ascii="Courier New" w:hAnsi="Courier New" w:cs="Courier New"/>
        </w:rPr>
        <w:t xml:space="preserve"> Francis, Procurement Analyst, at 202-550-0935 for clarification of content.  For information pertaining to status or publication schedules, contact the Regulatory Secretariat</w:t>
      </w:r>
      <w:r w:rsidR="00C549E2">
        <w:rPr>
          <w:rFonts w:ascii="Courier New" w:hAnsi="Courier New" w:cs="Courier New"/>
        </w:rPr>
        <w:t xml:space="preserve"> Division</w:t>
      </w:r>
      <w:r w:rsidR="00C446B4" w:rsidRPr="00C446B4">
        <w:rPr>
          <w:rFonts w:ascii="Courier New" w:hAnsi="Courier New" w:cs="Courier New"/>
        </w:rPr>
        <w:t xml:space="preserve"> at 202-501-4755.  Please cite </w:t>
      </w:r>
      <w:r w:rsidR="00C446B4">
        <w:rPr>
          <w:rFonts w:ascii="Courier New" w:hAnsi="Courier New" w:cs="Courier New"/>
        </w:rPr>
        <w:t xml:space="preserve">FAC </w:t>
      </w:r>
      <w:r w:rsidR="00A21C92">
        <w:rPr>
          <w:rFonts w:ascii="Courier New" w:hAnsi="Courier New" w:cs="Courier New"/>
        </w:rPr>
        <w:t>2019-06</w:t>
      </w:r>
      <w:r w:rsidR="00C549E2">
        <w:rPr>
          <w:rFonts w:ascii="Courier New" w:hAnsi="Courier New" w:cs="Courier New"/>
        </w:rPr>
        <w:t>,</w:t>
      </w:r>
      <w:r w:rsidR="00C446B4">
        <w:rPr>
          <w:rFonts w:ascii="Courier New" w:hAnsi="Courier New" w:cs="Courier New"/>
        </w:rPr>
        <w:t xml:space="preserve"> </w:t>
      </w:r>
      <w:r w:rsidR="00C446B4" w:rsidRPr="00C446B4">
        <w:rPr>
          <w:rFonts w:ascii="Courier New" w:hAnsi="Courier New" w:cs="Courier New"/>
        </w:rPr>
        <w:t>FAR Case 2018-010.</w:t>
      </w:r>
    </w:p>
    <w:p w:rsidR="00E451D9" w:rsidRPr="00835328" w:rsidRDefault="00E451D9" w:rsidP="00E451D9">
      <w:pPr>
        <w:tabs>
          <w:tab w:val="left" w:pos="360"/>
          <w:tab w:val="left" w:pos="1440"/>
        </w:tabs>
        <w:spacing w:line="480" w:lineRule="auto"/>
        <w:rPr>
          <w:rFonts w:ascii="Courier New" w:hAnsi="Courier New" w:cs="Courier New"/>
        </w:rPr>
      </w:pPr>
      <w:r w:rsidRPr="00835328">
        <w:rPr>
          <w:rFonts w:ascii="Courier New" w:hAnsi="Courier New" w:cs="Courier New"/>
          <w:b/>
        </w:rPr>
        <w:lastRenderedPageBreak/>
        <w:t>SUPPLEMENTARY INFORMATION</w:t>
      </w:r>
      <w:r w:rsidRPr="00835328">
        <w:rPr>
          <w:rFonts w:ascii="Courier New" w:hAnsi="Courier New" w:cs="Courier New"/>
        </w:rPr>
        <w:t>:</w:t>
      </w:r>
    </w:p>
    <w:p w:rsidR="00E451D9" w:rsidRPr="00835328" w:rsidRDefault="00E451D9" w:rsidP="00E451D9">
      <w:pPr>
        <w:tabs>
          <w:tab w:val="left" w:pos="360"/>
          <w:tab w:val="left" w:pos="1440"/>
        </w:tabs>
        <w:spacing w:line="480" w:lineRule="auto"/>
        <w:rPr>
          <w:rFonts w:ascii="Courier New" w:hAnsi="Courier New" w:cs="Courier New"/>
          <w:b/>
        </w:rPr>
      </w:pPr>
      <w:r w:rsidRPr="00835328">
        <w:rPr>
          <w:rFonts w:ascii="Courier New" w:hAnsi="Courier New" w:cs="Courier New"/>
          <w:b/>
        </w:rPr>
        <w:t>I.  Background</w:t>
      </w:r>
    </w:p>
    <w:p w:rsidR="00C446B4" w:rsidRPr="00C446B4" w:rsidRDefault="008A60A8" w:rsidP="00C446B4">
      <w:pPr>
        <w:tabs>
          <w:tab w:val="left" w:pos="720"/>
        </w:tabs>
        <w:spacing w:line="480" w:lineRule="auto"/>
        <w:rPr>
          <w:rFonts w:ascii="Courier New" w:hAnsi="Courier New" w:cs="Courier New"/>
        </w:rPr>
      </w:pPr>
      <w:r>
        <w:rPr>
          <w:rFonts w:ascii="Courier New" w:hAnsi="Courier New" w:cs="Courier New"/>
        </w:rPr>
        <w:tab/>
      </w:r>
      <w:proofErr w:type="gramStart"/>
      <w:r w:rsidR="00C446B4" w:rsidRPr="00C446B4">
        <w:rPr>
          <w:rFonts w:ascii="Courier New" w:hAnsi="Courier New" w:cs="Courier New"/>
        </w:rPr>
        <w:t>DoD</w:t>
      </w:r>
      <w:proofErr w:type="gramEnd"/>
      <w:r w:rsidR="00C446B4" w:rsidRPr="00C446B4">
        <w:rPr>
          <w:rFonts w:ascii="Courier New" w:hAnsi="Courier New" w:cs="Courier New"/>
        </w:rPr>
        <w:t xml:space="preserve">, GSA, and NASA published an interim rule in the </w:t>
      </w:r>
      <w:r w:rsidR="00C446B4" w:rsidRPr="00C549E2">
        <w:rPr>
          <w:rFonts w:ascii="Courier New" w:hAnsi="Courier New" w:cs="Courier New"/>
          <w:u w:val="single"/>
        </w:rPr>
        <w:t>Federal</w:t>
      </w:r>
      <w:r w:rsidR="00C446B4" w:rsidRPr="00C549E2">
        <w:rPr>
          <w:rFonts w:ascii="Courier New" w:hAnsi="Courier New" w:cs="Courier New"/>
        </w:rPr>
        <w:t xml:space="preserve"> </w:t>
      </w:r>
      <w:r w:rsidR="00C446B4" w:rsidRPr="00C549E2">
        <w:rPr>
          <w:rFonts w:ascii="Courier New" w:hAnsi="Courier New" w:cs="Courier New"/>
          <w:u w:val="single"/>
        </w:rPr>
        <w:t>Register</w:t>
      </w:r>
      <w:r w:rsidR="00C446B4" w:rsidRPr="00C446B4">
        <w:rPr>
          <w:rFonts w:ascii="Courier New" w:hAnsi="Courier New" w:cs="Courier New"/>
        </w:rPr>
        <w:t xml:space="preserve"> at 83 FR 28141 on June 15, 2018</w:t>
      </w:r>
      <w:r w:rsidR="00C549E2">
        <w:rPr>
          <w:rFonts w:ascii="Courier New" w:hAnsi="Courier New" w:cs="Courier New"/>
        </w:rPr>
        <w:t>,</w:t>
      </w:r>
      <w:r w:rsidR="00C446B4" w:rsidRPr="00C446B4">
        <w:rPr>
          <w:rFonts w:ascii="Courier New" w:hAnsi="Courier New" w:cs="Courier New"/>
        </w:rPr>
        <w:t xml:space="preserve"> to revise the FAR to implement section 1634 of Division A of the NDAA for FY 2018 (Pub. </w:t>
      </w:r>
      <w:proofErr w:type="gramStart"/>
      <w:r w:rsidR="00C446B4" w:rsidRPr="00C446B4">
        <w:rPr>
          <w:rFonts w:ascii="Courier New" w:hAnsi="Courier New" w:cs="Courier New"/>
        </w:rPr>
        <w:t>L. 115-91).</w:t>
      </w:r>
      <w:proofErr w:type="gramEnd"/>
      <w:r w:rsidR="00C446B4" w:rsidRPr="00C446B4">
        <w:rPr>
          <w:rFonts w:ascii="Courier New" w:hAnsi="Courier New" w:cs="Courier New"/>
        </w:rPr>
        <w:t xml:space="preserve">  Section 1634 of this law prohibits the use of products or services of Kaspersky Lab and its related entities by the Federal Governme</w:t>
      </w:r>
      <w:r w:rsidR="00C549E2">
        <w:rPr>
          <w:rFonts w:ascii="Courier New" w:hAnsi="Courier New" w:cs="Courier New"/>
        </w:rPr>
        <w:t>nt on or after October 1, 2018.</w:t>
      </w:r>
    </w:p>
    <w:p w:rsidR="00EF146F" w:rsidRPr="008A60A8" w:rsidRDefault="00C549E2" w:rsidP="00C446B4">
      <w:pPr>
        <w:tabs>
          <w:tab w:val="left" w:pos="720"/>
        </w:tabs>
        <w:spacing w:line="480" w:lineRule="auto"/>
        <w:rPr>
          <w:rFonts w:ascii="Courier New" w:hAnsi="Courier New" w:cs="Courier New"/>
        </w:rPr>
      </w:pPr>
      <w:r>
        <w:rPr>
          <w:rFonts w:ascii="Courier New" w:hAnsi="Courier New" w:cs="Courier New"/>
        </w:rPr>
        <w:tab/>
      </w:r>
      <w:r w:rsidR="00C446B4" w:rsidRPr="00C446B4">
        <w:rPr>
          <w:rFonts w:ascii="Courier New" w:hAnsi="Courier New" w:cs="Courier New"/>
        </w:rPr>
        <w:t>The interim rule amended FAR part 4, add</w:t>
      </w:r>
      <w:r w:rsidR="001300E7">
        <w:rPr>
          <w:rFonts w:ascii="Courier New" w:hAnsi="Courier New" w:cs="Courier New"/>
        </w:rPr>
        <w:t>ing</w:t>
      </w:r>
      <w:r w:rsidR="00C446B4" w:rsidRPr="00C446B4">
        <w:rPr>
          <w:rFonts w:ascii="Courier New" w:hAnsi="Courier New" w:cs="Courier New"/>
        </w:rPr>
        <w:t xml:space="preserve"> a new subpart 4.20, Prohibition on Contracting for Hardware, Software, and Services Developed or Provided by Kaspersky Lab, with a corresponding new contract clause at 52.204–23, Prohibition on Contracting for Hardware, Software, and Services Developed or Provided by Kaspersky Lab and Other Covered Entities. </w:t>
      </w:r>
      <w:r w:rsidR="005713F6">
        <w:rPr>
          <w:rFonts w:ascii="Courier New" w:hAnsi="Courier New" w:cs="Courier New"/>
        </w:rPr>
        <w:t xml:space="preserve"> </w:t>
      </w:r>
      <w:r w:rsidR="00C446B4" w:rsidRPr="00C446B4">
        <w:rPr>
          <w:rFonts w:ascii="Courier New" w:hAnsi="Courier New" w:cs="Courier New"/>
        </w:rPr>
        <w:t xml:space="preserve">The interim rule also added text in subpart 13.2, Actions at or Below the Micro-Purchase Threshold, to address section 1634 with regard to micro-purchases. </w:t>
      </w:r>
      <w:r w:rsidR="005713F6">
        <w:rPr>
          <w:rFonts w:ascii="Courier New" w:hAnsi="Courier New" w:cs="Courier New"/>
        </w:rPr>
        <w:t xml:space="preserve"> </w:t>
      </w:r>
      <w:r w:rsidR="00C446B4" w:rsidRPr="00C446B4">
        <w:rPr>
          <w:rFonts w:ascii="Courier New" w:hAnsi="Courier New" w:cs="Courier New"/>
        </w:rPr>
        <w:t xml:space="preserve">To implement section 1634, the clause at 52.204–23 prohibits contractors from providing any hardware, software, or services developed or provided by Kaspersky Lab or its related entities, or using any such hardware, software, or services in the development of data or deliverables first produced in the performance of the contract. </w:t>
      </w:r>
      <w:r w:rsidR="005713F6">
        <w:rPr>
          <w:rFonts w:ascii="Courier New" w:hAnsi="Courier New" w:cs="Courier New"/>
        </w:rPr>
        <w:t xml:space="preserve"> </w:t>
      </w:r>
      <w:r w:rsidR="00C446B4" w:rsidRPr="00C446B4">
        <w:rPr>
          <w:rFonts w:ascii="Courier New" w:hAnsi="Courier New" w:cs="Courier New"/>
        </w:rPr>
        <w:t xml:space="preserve">The contractor must also report any such hardware, software, or services discovered during contract performance; this </w:t>
      </w:r>
      <w:r w:rsidR="00C446B4" w:rsidRPr="00C446B4">
        <w:rPr>
          <w:rFonts w:ascii="Courier New" w:hAnsi="Courier New" w:cs="Courier New"/>
        </w:rPr>
        <w:lastRenderedPageBreak/>
        <w:t xml:space="preserve">requirement flows down to subcontractors. </w:t>
      </w:r>
      <w:r w:rsidR="005713F6">
        <w:rPr>
          <w:rFonts w:ascii="Courier New" w:hAnsi="Courier New" w:cs="Courier New"/>
        </w:rPr>
        <w:t xml:space="preserve"> </w:t>
      </w:r>
      <w:r w:rsidR="00C446B4" w:rsidRPr="00C446B4">
        <w:rPr>
          <w:rFonts w:ascii="Courier New" w:hAnsi="Courier New" w:cs="Courier New"/>
        </w:rPr>
        <w:t>For clarity, the rule defines “covered entity” and “covered article”</w:t>
      </w:r>
      <w:r w:rsidR="00451C87">
        <w:rPr>
          <w:rFonts w:ascii="Courier New" w:hAnsi="Courier New" w:cs="Courier New"/>
        </w:rPr>
        <w:t>.</w:t>
      </w:r>
      <w:r w:rsidR="005713F6">
        <w:rPr>
          <w:rFonts w:ascii="Courier New" w:hAnsi="Courier New" w:cs="Courier New"/>
        </w:rPr>
        <w:t xml:space="preserve"> </w:t>
      </w:r>
      <w:r w:rsidR="00C446B4" w:rsidRPr="00C446B4">
        <w:rPr>
          <w:rFonts w:ascii="Courier New" w:hAnsi="Courier New" w:cs="Courier New"/>
        </w:rPr>
        <w:t xml:space="preserve"> A covered entity includes the entities described in section 1634. </w:t>
      </w:r>
      <w:r w:rsidR="005713F6">
        <w:rPr>
          <w:rFonts w:ascii="Courier New" w:hAnsi="Courier New" w:cs="Courier New"/>
        </w:rPr>
        <w:t xml:space="preserve"> </w:t>
      </w:r>
      <w:r w:rsidR="00C446B4" w:rsidRPr="00C446B4">
        <w:rPr>
          <w:rFonts w:ascii="Courier New" w:hAnsi="Courier New" w:cs="Courier New"/>
        </w:rPr>
        <w:t>A covered article includes hardware, software, or services that the Federal Government will use on or after October 1, 2018.  The public comment period ended August 14, 2018.</w:t>
      </w:r>
    </w:p>
    <w:p w:rsidR="00E451D9" w:rsidRPr="00835328" w:rsidRDefault="00E451D9" w:rsidP="00E451D9">
      <w:pPr>
        <w:tabs>
          <w:tab w:val="left" w:pos="360"/>
          <w:tab w:val="left" w:pos="720"/>
        </w:tabs>
        <w:spacing w:line="480" w:lineRule="auto"/>
        <w:rPr>
          <w:rFonts w:ascii="Courier New" w:eastAsia="Arial Unicode MS" w:hAnsi="Courier New" w:cs="Courier New"/>
          <w:b/>
        </w:rPr>
      </w:pPr>
      <w:bookmarkStart w:id="1" w:name="OLE_LINK1"/>
      <w:bookmarkStart w:id="2" w:name="OLE_LINK2"/>
      <w:r w:rsidRPr="00835328">
        <w:rPr>
          <w:rFonts w:ascii="Courier New" w:eastAsia="Calibri" w:hAnsi="Courier New" w:cs="Courier New"/>
          <w:b/>
        </w:rPr>
        <w:t>II</w:t>
      </w:r>
      <w:proofErr w:type="gramStart"/>
      <w:r w:rsidRPr="00835328">
        <w:rPr>
          <w:rFonts w:ascii="Courier New" w:eastAsia="Calibri" w:hAnsi="Courier New" w:cs="Courier New"/>
          <w:b/>
        </w:rPr>
        <w:t xml:space="preserve">. </w:t>
      </w:r>
      <w:r w:rsidR="00AA57E8">
        <w:rPr>
          <w:rFonts w:ascii="Courier New" w:eastAsia="Calibri" w:hAnsi="Courier New" w:cs="Courier New"/>
          <w:b/>
        </w:rPr>
        <w:t xml:space="preserve"> </w:t>
      </w:r>
      <w:r w:rsidRPr="00835328">
        <w:rPr>
          <w:rFonts w:ascii="Courier New" w:eastAsia="Calibri" w:hAnsi="Courier New" w:cs="Courier New"/>
          <w:b/>
        </w:rPr>
        <w:t>Discussion</w:t>
      </w:r>
      <w:proofErr w:type="gramEnd"/>
      <w:r w:rsidRPr="00835328">
        <w:rPr>
          <w:rFonts w:ascii="Courier New" w:eastAsia="Arial Unicode MS" w:hAnsi="Courier New" w:cs="Courier New"/>
          <w:b/>
        </w:rPr>
        <w:t xml:space="preserve"> and Analysis</w:t>
      </w:r>
    </w:p>
    <w:p w:rsidR="006E0019" w:rsidRDefault="00E451D9" w:rsidP="00AA57E8">
      <w:pPr>
        <w:tabs>
          <w:tab w:val="left" w:pos="720"/>
        </w:tabs>
        <w:spacing w:line="480" w:lineRule="auto"/>
        <w:rPr>
          <w:rFonts w:ascii="Courier New" w:eastAsia="Calibri" w:hAnsi="Courier New" w:cs="Courier New"/>
        </w:rPr>
      </w:pPr>
      <w:r w:rsidRPr="00835328">
        <w:rPr>
          <w:rFonts w:ascii="Courier New" w:eastAsia="Calibri" w:hAnsi="Courier New" w:cs="Courier New"/>
        </w:rPr>
        <w:tab/>
      </w:r>
      <w:bookmarkEnd w:id="1"/>
      <w:bookmarkEnd w:id="2"/>
      <w:r w:rsidR="005713F6" w:rsidRPr="005713F6">
        <w:rPr>
          <w:rFonts w:ascii="Courier New" w:eastAsia="Calibri" w:hAnsi="Courier New" w:cs="Courier New"/>
        </w:rPr>
        <w:t>Three respondents submitted public comments</w:t>
      </w:r>
      <w:r w:rsidR="001300E7">
        <w:rPr>
          <w:rFonts w:ascii="Courier New" w:eastAsia="Calibri" w:hAnsi="Courier New" w:cs="Courier New"/>
        </w:rPr>
        <w:t>, one of which was</w:t>
      </w:r>
      <w:r w:rsidR="005713F6" w:rsidRPr="005713F6">
        <w:rPr>
          <w:rFonts w:ascii="Courier New" w:eastAsia="Calibri" w:hAnsi="Courier New" w:cs="Courier New"/>
        </w:rPr>
        <w:t xml:space="preserve"> outside the scope of the rule.</w:t>
      </w:r>
      <w:r w:rsidR="008766DC">
        <w:rPr>
          <w:rFonts w:ascii="Courier New" w:eastAsia="Calibri" w:hAnsi="Courier New" w:cs="Courier New"/>
        </w:rPr>
        <w:t xml:space="preserve"> </w:t>
      </w:r>
      <w:r w:rsidR="005713F6" w:rsidRPr="005713F6">
        <w:rPr>
          <w:rFonts w:ascii="Courier New" w:eastAsia="Calibri" w:hAnsi="Courier New" w:cs="Courier New"/>
        </w:rPr>
        <w:t xml:space="preserve"> There are no changes made to the final rule as a result of the public comments.</w:t>
      </w:r>
      <w:r w:rsidR="008766DC">
        <w:rPr>
          <w:rFonts w:ascii="Courier New" w:eastAsia="Calibri" w:hAnsi="Courier New" w:cs="Courier New"/>
        </w:rPr>
        <w:t xml:space="preserve"> </w:t>
      </w:r>
      <w:r w:rsidR="005713F6" w:rsidRPr="005713F6">
        <w:rPr>
          <w:rFonts w:ascii="Courier New" w:eastAsia="Calibri" w:hAnsi="Courier New" w:cs="Courier New"/>
        </w:rPr>
        <w:t xml:space="preserve"> </w:t>
      </w:r>
      <w:r w:rsidR="00451C87">
        <w:rPr>
          <w:rFonts w:ascii="Courier New" w:eastAsia="Calibri" w:hAnsi="Courier New" w:cs="Courier New"/>
        </w:rPr>
        <w:t>R</w:t>
      </w:r>
      <w:r w:rsidR="005713F6" w:rsidRPr="005713F6">
        <w:rPr>
          <w:rFonts w:ascii="Courier New" w:eastAsia="Calibri" w:hAnsi="Courier New" w:cs="Courier New"/>
        </w:rPr>
        <w:t>esponse</w:t>
      </w:r>
      <w:r w:rsidR="00451C87">
        <w:rPr>
          <w:rFonts w:ascii="Courier New" w:eastAsia="Calibri" w:hAnsi="Courier New" w:cs="Courier New"/>
        </w:rPr>
        <w:t>s</w:t>
      </w:r>
      <w:r w:rsidR="005713F6" w:rsidRPr="005713F6">
        <w:rPr>
          <w:rFonts w:ascii="Courier New" w:eastAsia="Calibri" w:hAnsi="Courier New" w:cs="Courier New"/>
        </w:rPr>
        <w:t xml:space="preserve"> to comments </w:t>
      </w:r>
      <w:r w:rsidR="00451C87">
        <w:rPr>
          <w:rFonts w:ascii="Courier New" w:eastAsia="Calibri" w:hAnsi="Courier New" w:cs="Courier New"/>
        </w:rPr>
        <w:t xml:space="preserve">received </w:t>
      </w:r>
      <w:r w:rsidR="005713F6" w:rsidRPr="005713F6">
        <w:rPr>
          <w:rFonts w:ascii="Courier New" w:eastAsia="Calibri" w:hAnsi="Courier New" w:cs="Courier New"/>
        </w:rPr>
        <w:t>follow below.</w:t>
      </w:r>
    </w:p>
    <w:p w:rsidR="008766DC" w:rsidRPr="008766DC" w:rsidRDefault="008766DC" w:rsidP="008766DC">
      <w:pPr>
        <w:tabs>
          <w:tab w:val="left" w:pos="720"/>
        </w:tabs>
        <w:spacing w:line="480" w:lineRule="auto"/>
        <w:ind w:firstLine="720"/>
        <w:rPr>
          <w:rFonts w:ascii="Courier New" w:hAnsi="Courier New" w:cs="Courier New"/>
        </w:rPr>
      </w:pPr>
      <w:r w:rsidRPr="008766DC">
        <w:rPr>
          <w:rFonts w:ascii="Courier New" w:hAnsi="Courier New" w:cs="Courier New"/>
          <w:u w:val="single"/>
        </w:rPr>
        <w:t>Comment</w:t>
      </w:r>
      <w:r w:rsidRPr="008766DC">
        <w:rPr>
          <w:rFonts w:ascii="Courier New" w:hAnsi="Courier New" w:cs="Courier New"/>
        </w:rPr>
        <w:t xml:space="preserve">:  A respondent stated, “To reduce burden on contractors, a specific list or definition around </w:t>
      </w:r>
      <w:r w:rsidR="00A23468">
        <w:rPr>
          <w:rFonts w:ascii="Courier New" w:hAnsi="Courier New" w:cs="Courier New"/>
        </w:rPr>
        <w:t>‘</w:t>
      </w:r>
      <w:r w:rsidRPr="008766DC">
        <w:rPr>
          <w:rFonts w:ascii="Courier New" w:hAnsi="Courier New" w:cs="Courier New"/>
        </w:rPr>
        <w:t>covered article</w:t>
      </w:r>
      <w:r w:rsidR="00A23468">
        <w:rPr>
          <w:rFonts w:ascii="Courier New" w:hAnsi="Courier New" w:cs="Courier New"/>
        </w:rPr>
        <w:t>’</w:t>
      </w:r>
      <w:r w:rsidRPr="008766DC">
        <w:rPr>
          <w:rFonts w:ascii="Courier New" w:hAnsi="Courier New" w:cs="Courier New"/>
        </w:rPr>
        <w:t xml:space="preserve"> or </w:t>
      </w:r>
      <w:r w:rsidR="00A23468">
        <w:rPr>
          <w:rFonts w:ascii="Courier New" w:hAnsi="Courier New" w:cs="Courier New"/>
        </w:rPr>
        <w:t>‘</w:t>
      </w:r>
      <w:r w:rsidRPr="008766DC">
        <w:rPr>
          <w:rFonts w:ascii="Courier New" w:hAnsi="Courier New" w:cs="Courier New"/>
        </w:rPr>
        <w:t>covered entity</w:t>
      </w:r>
      <w:r w:rsidR="00A23468">
        <w:rPr>
          <w:rFonts w:ascii="Courier New" w:hAnsi="Courier New" w:cs="Courier New"/>
        </w:rPr>
        <w:t>’</w:t>
      </w:r>
      <w:r w:rsidRPr="008766DC">
        <w:rPr>
          <w:rFonts w:ascii="Courier New" w:hAnsi="Courier New" w:cs="Courier New"/>
        </w:rPr>
        <w:t xml:space="preserve"> are requested.  It is also requested to share how and when an entity or article would be added to this list and incorporated into this clause.”</w:t>
      </w:r>
    </w:p>
    <w:p w:rsidR="008766DC" w:rsidRPr="008766DC" w:rsidRDefault="008766DC" w:rsidP="008766DC">
      <w:pPr>
        <w:tabs>
          <w:tab w:val="left" w:pos="720"/>
        </w:tabs>
        <w:spacing w:line="480" w:lineRule="auto"/>
        <w:ind w:firstLine="720"/>
        <w:rPr>
          <w:rFonts w:ascii="Courier New" w:hAnsi="Courier New" w:cs="Courier New"/>
        </w:rPr>
      </w:pPr>
      <w:r w:rsidRPr="008766DC">
        <w:rPr>
          <w:rFonts w:ascii="Courier New" w:hAnsi="Courier New" w:cs="Courier New"/>
          <w:u w:val="single"/>
        </w:rPr>
        <w:t>Response</w:t>
      </w:r>
      <w:r w:rsidRPr="008766DC">
        <w:rPr>
          <w:rFonts w:ascii="Courier New" w:hAnsi="Courier New" w:cs="Courier New"/>
        </w:rPr>
        <w:t>:  The rule defines “</w:t>
      </w:r>
      <w:r w:rsidR="001300E7">
        <w:rPr>
          <w:rFonts w:ascii="Courier New" w:hAnsi="Courier New" w:cs="Courier New"/>
        </w:rPr>
        <w:t>c</w:t>
      </w:r>
      <w:r w:rsidRPr="008766DC">
        <w:rPr>
          <w:rFonts w:ascii="Courier New" w:hAnsi="Courier New" w:cs="Courier New"/>
        </w:rPr>
        <w:t>overed article” and “</w:t>
      </w:r>
      <w:r w:rsidR="001300E7">
        <w:rPr>
          <w:rFonts w:ascii="Courier New" w:hAnsi="Courier New" w:cs="Courier New"/>
        </w:rPr>
        <w:t>c</w:t>
      </w:r>
      <w:r w:rsidRPr="008766DC">
        <w:rPr>
          <w:rFonts w:ascii="Courier New" w:hAnsi="Courier New" w:cs="Courier New"/>
        </w:rPr>
        <w:t>overed entity” in FAR 4.2001</w:t>
      </w:r>
      <w:r w:rsidR="00A23468">
        <w:rPr>
          <w:rFonts w:ascii="Courier New" w:hAnsi="Courier New" w:cs="Courier New"/>
        </w:rPr>
        <w:t>,</w:t>
      </w:r>
      <w:r w:rsidRPr="008766DC">
        <w:rPr>
          <w:rFonts w:ascii="Courier New" w:hAnsi="Courier New" w:cs="Courier New"/>
        </w:rPr>
        <w:t xml:space="preserve"> Definitions.  With respect to use of a products list, the preamble to the interim rule included a series of detailed questions designed to elicit feedback on how a list might be developed and maintained, as well as other steps that might be taken to reduce burden, but no public input was offered.  Due to the continually evolving nature of technological product and service offerings, including third-</w:t>
      </w:r>
      <w:r w:rsidRPr="008766DC">
        <w:rPr>
          <w:rFonts w:ascii="Courier New" w:hAnsi="Courier New" w:cs="Courier New"/>
        </w:rPr>
        <w:lastRenderedPageBreak/>
        <w:t>party products that may either add or eliminate inclusion of elements such as K</w:t>
      </w:r>
      <w:r w:rsidR="00A23468">
        <w:rPr>
          <w:rFonts w:ascii="Courier New" w:hAnsi="Courier New" w:cs="Courier New"/>
        </w:rPr>
        <w:t xml:space="preserve">aspersky </w:t>
      </w:r>
      <w:r w:rsidRPr="008766DC">
        <w:rPr>
          <w:rFonts w:ascii="Courier New" w:hAnsi="Courier New" w:cs="Courier New"/>
        </w:rPr>
        <w:t>L</w:t>
      </w:r>
      <w:r w:rsidR="00A23468">
        <w:rPr>
          <w:rFonts w:ascii="Courier New" w:hAnsi="Courier New" w:cs="Courier New"/>
        </w:rPr>
        <w:t>ab</w:t>
      </w:r>
      <w:r w:rsidRPr="008766DC">
        <w:rPr>
          <w:rFonts w:ascii="Courier New" w:hAnsi="Courier New" w:cs="Courier New"/>
        </w:rPr>
        <w:t xml:space="preserve"> software, and the lack of suggestions for how this challenge might be managed, DoD, GSA, and NASA have concluded that providing a definitive list of hardware, software</w:t>
      </w:r>
      <w:r w:rsidR="00A23468">
        <w:rPr>
          <w:rFonts w:ascii="Courier New" w:hAnsi="Courier New" w:cs="Courier New"/>
        </w:rPr>
        <w:t>,</w:t>
      </w:r>
      <w:r w:rsidRPr="008766DC">
        <w:rPr>
          <w:rFonts w:ascii="Courier New" w:hAnsi="Courier New" w:cs="Courier New"/>
        </w:rPr>
        <w:t xml:space="preserve"> or services subject to the definition of “covered article” is impractical, particularly in regulation. </w:t>
      </w:r>
      <w:r w:rsidR="00451C87">
        <w:rPr>
          <w:rFonts w:ascii="Courier New" w:hAnsi="Courier New" w:cs="Courier New"/>
        </w:rPr>
        <w:t xml:space="preserve"> </w:t>
      </w:r>
      <w:r w:rsidRPr="008766DC">
        <w:rPr>
          <w:rFonts w:ascii="Courier New" w:hAnsi="Courier New" w:cs="Courier New"/>
        </w:rPr>
        <w:t xml:space="preserve">Similar challenges regarding the shifting nature of ownership, affiliate and subsidiary relationships also apply to the definition of “covered entity.”  </w:t>
      </w:r>
      <w:proofErr w:type="gramStart"/>
      <w:r w:rsidRPr="008766DC">
        <w:rPr>
          <w:rFonts w:ascii="Courier New" w:hAnsi="Courier New" w:cs="Courier New"/>
        </w:rPr>
        <w:t>DoD</w:t>
      </w:r>
      <w:proofErr w:type="gramEnd"/>
      <w:r w:rsidRPr="008766DC">
        <w:rPr>
          <w:rFonts w:ascii="Courier New" w:hAnsi="Courier New" w:cs="Courier New"/>
        </w:rPr>
        <w:t>, GSA, and NASA intend to confer with the Federal Acquisition Security Council staff as it considers issues related to the appropriate sharing of information to support management decisions associated with sup</w:t>
      </w:r>
      <w:r>
        <w:rPr>
          <w:rFonts w:ascii="Courier New" w:hAnsi="Courier New" w:cs="Courier New"/>
        </w:rPr>
        <w:t>ply chain risk management.</w:t>
      </w:r>
    </w:p>
    <w:p w:rsidR="008766DC" w:rsidRPr="008766DC" w:rsidRDefault="008766DC" w:rsidP="008766DC">
      <w:pPr>
        <w:tabs>
          <w:tab w:val="left" w:pos="720"/>
        </w:tabs>
        <w:spacing w:line="480" w:lineRule="auto"/>
        <w:ind w:firstLine="720"/>
        <w:rPr>
          <w:rFonts w:ascii="Courier New" w:hAnsi="Courier New" w:cs="Courier New"/>
        </w:rPr>
      </w:pPr>
      <w:r w:rsidRPr="008766DC">
        <w:rPr>
          <w:rFonts w:ascii="Courier New" w:hAnsi="Courier New" w:cs="Courier New"/>
          <w:u w:val="single"/>
        </w:rPr>
        <w:t>Comment</w:t>
      </w:r>
      <w:r w:rsidRPr="008766DC">
        <w:rPr>
          <w:rFonts w:ascii="Courier New" w:hAnsi="Courier New" w:cs="Courier New"/>
        </w:rPr>
        <w:t xml:space="preserve">:  A respondent indicated that the prohibition should be effective immediately to prevent continued use and additional risk to the Government.  The respondent had similar concerns that existing contracts would not be modified to incorporate the clause unless the period of performance was being </w:t>
      </w:r>
      <w:r>
        <w:rPr>
          <w:rFonts w:ascii="Courier New" w:hAnsi="Courier New" w:cs="Courier New"/>
        </w:rPr>
        <w:t xml:space="preserve">extended for </w:t>
      </w:r>
      <w:r w:rsidR="00A23468">
        <w:rPr>
          <w:rFonts w:ascii="Courier New" w:hAnsi="Courier New" w:cs="Courier New"/>
        </w:rPr>
        <w:t>six</w:t>
      </w:r>
      <w:r>
        <w:rPr>
          <w:rFonts w:ascii="Courier New" w:hAnsi="Courier New" w:cs="Courier New"/>
        </w:rPr>
        <w:t xml:space="preserve"> or more months.</w:t>
      </w:r>
    </w:p>
    <w:p w:rsidR="008766DC" w:rsidRPr="001D732D" w:rsidRDefault="008766DC" w:rsidP="008766DC">
      <w:pPr>
        <w:tabs>
          <w:tab w:val="left" w:pos="720"/>
        </w:tabs>
        <w:spacing w:line="480" w:lineRule="auto"/>
        <w:ind w:firstLine="720"/>
        <w:rPr>
          <w:rFonts w:ascii="Courier New" w:hAnsi="Courier New" w:cs="Courier New"/>
        </w:rPr>
      </w:pPr>
      <w:r w:rsidRPr="002D13A9">
        <w:rPr>
          <w:rFonts w:ascii="Courier New" w:hAnsi="Courier New" w:cs="Courier New"/>
          <w:u w:val="single"/>
        </w:rPr>
        <w:t>Response</w:t>
      </w:r>
      <w:r w:rsidRPr="008766DC">
        <w:rPr>
          <w:rFonts w:ascii="Courier New" w:hAnsi="Courier New" w:cs="Courier New"/>
        </w:rPr>
        <w:t>:</w:t>
      </w:r>
      <w:r>
        <w:rPr>
          <w:rFonts w:ascii="Courier New" w:hAnsi="Courier New" w:cs="Courier New"/>
        </w:rPr>
        <w:t xml:space="preserve"> </w:t>
      </w:r>
      <w:r w:rsidRPr="008766DC">
        <w:rPr>
          <w:rFonts w:ascii="Courier New" w:hAnsi="Courier New" w:cs="Courier New"/>
        </w:rPr>
        <w:t xml:space="preserve"> The statutory prohibition in section 1634 took effect on October 1, 2018, and the interim rule was published in advance of </w:t>
      </w:r>
      <w:r w:rsidR="001300E7">
        <w:rPr>
          <w:rFonts w:ascii="Courier New" w:hAnsi="Courier New" w:cs="Courier New"/>
        </w:rPr>
        <w:t>the effective</w:t>
      </w:r>
      <w:r w:rsidRPr="008766DC">
        <w:rPr>
          <w:rFonts w:ascii="Courier New" w:hAnsi="Courier New" w:cs="Courier New"/>
        </w:rPr>
        <w:t xml:space="preserve"> date in order to provide sufficient time for both Government and industry to identify any current use or planned procurements of covered articles from covered </w:t>
      </w:r>
      <w:r w:rsidRPr="008766DC">
        <w:rPr>
          <w:rFonts w:ascii="Courier New" w:hAnsi="Courier New" w:cs="Courier New"/>
        </w:rPr>
        <w:lastRenderedPageBreak/>
        <w:t>entities.  Publication of the FAR rule was one tool to help agencies in their implementation of section 1634, but the rule did not impact or impair any other planned or ongoing efforts agencies undertook to address the presence of covered articles.</w:t>
      </w:r>
    </w:p>
    <w:p w:rsidR="00DE6C23" w:rsidRPr="00DE6C23" w:rsidRDefault="00DE6C23" w:rsidP="00D70796">
      <w:pPr>
        <w:tabs>
          <w:tab w:val="left" w:pos="360"/>
          <w:tab w:val="left" w:pos="720"/>
        </w:tabs>
        <w:spacing w:line="480" w:lineRule="auto"/>
        <w:rPr>
          <w:rFonts w:ascii="Courier New" w:eastAsia="Calibri" w:hAnsi="Courier New" w:cs="Courier New"/>
          <w:b/>
        </w:rPr>
      </w:pPr>
      <w:r w:rsidRPr="00DE6C23">
        <w:rPr>
          <w:rFonts w:ascii="Courier New" w:eastAsia="Calibri" w:hAnsi="Courier New" w:cs="Courier New"/>
          <w:b/>
        </w:rPr>
        <w:t>III</w:t>
      </w:r>
      <w:proofErr w:type="gramStart"/>
      <w:r w:rsidRPr="00DE6C23">
        <w:rPr>
          <w:rFonts w:ascii="Courier New" w:eastAsia="Calibri" w:hAnsi="Courier New" w:cs="Courier New"/>
          <w:b/>
        </w:rPr>
        <w:t xml:space="preserve">. </w:t>
      </w:r>
      <w:r w:rsidR="00AA57E8">
        <w:rPr>
          <w:rFonts w:ascii="Courier New" w:eastAsia="Calibri" w:hAnsi="Courier New" w:cs="Courier New"/>
          <w:b/>
        </w:rPr>
        <w:t xml:space="preserve"> </w:t>
      </w:r>
      <w:r w:rsidRPr="00DE6C23">
        <w:rPr>
          <w:rFonts w:ascii="Courier New" w:eastAsia="Calibri" w:hAnsi="Courier New" w:cs="Courier New"/>
          <w:b/>
        </w:rPr>
        <w:t>Applicability</w:t>
      </w:r>
      <w:proofErr w:type="gramEnd"/>
      <w:r w:rsidRPr="00DE6C23">
        <w:rPr>
          <w:rFonts w:ascii="Courier New" w:eastAsia="Calibri" w:hAnsi="Courier New" w:cs="Courier New"/>
          <w:b/>
        </w:rPr>
        <w:t xml:space="preserve"> to Contracts at or Below the Simplified Acquisition Threshold (SAT) and for Commercial Items, Including Commercially Available Off-the-Shelf (COTS) Items</w:t>
      </w:r>
    </w:p>
    <w:p w:rsidR="008766DC" w:rsidRPr="008766DC" w:rsidRDefault="00DE6C23" w:rsidP="008766DC">
      <w:pPr>
        <w:tabs>
          <w:tab w:val="left" w:pos="720"/>
        </w:tabs>
        <w:spacing w:line="480" w:lineRule="auto"/>
        <w:rPr>
          <w:rFonts w:ascii="Courier New" w:eastAsia="Calibri" w:hAnsi="Courier New" w:cs="Courier New"/>
        </w:rPr>
      </w:pPr>
      <w:r w:rsidRPr="00DE6C23">
        <w:rPr>
          <w:rFonts w:ascii="Courier New" w:eastAsia="Calibri" w:hAnsi="Courier New" w:cs="Courier New"/>
        </w:rPr>
        <w:tab/>
      </w:r>
      <w:r w:rsidR="008766DC" w:rsidRPr="008766DC">
        <w:rPr>
          <w:rFonts w:ascii="Courier New" w:eastAsia="Calibri" w:hAnsi="Courier New" w:cs="Courier New"/>
        </w:rPr>
        <w:t xml:space="preserve">This rule applies the requirements of section 1634 of the NDAA for FY 2018 to contracts at or below the SAT, to include contracts for the acquisition of commercial items, including COTS items.  </w:t>
      </w:r>
    </w:p>
    <w:p w:rsidR="008766DC" w:rsidRPr="008766DC" w:rsidRDefault="000507B0" w:rsidP="008766DC">
      <w:pPr>
        <w:tabs>
          <w:tab w:val="left" w:pos="720"/>
        </w:tabs>
        <w:spacing w:line="480" w:lineRule="auto"/>
        <w:rPr>
          <w:rFonts w:ascii="Courier New" w:eastAsia="Calibri" w:hAnsi="Courier New" w:cs="Courier New"/>
        </w:rPr>
      </w:pPr>
      <w:r>
        <w:rPr>
          <w:rFonts w:ascii="Courier New" w:eastAsia="Calibri" w:hAnsi="Courier New" w:cs="Courier New"/>
        </w:rPr>
        <w:tab/>
      </w:r>
      <w:r w:rsidR="008766DC" w:rsidRPr="008766DC">
        <w:rPr>
          <w:rFonts w:ascii="Courier New" w:eastAsia="Calibri" w:hAnsi="Courier New" w:cs="Courier New"/>
        </w:rPr>
        <w:t xml:space="preserve">A.  </w:t>
      </w:r>
      <w:r w:rsidR="008766DC" w:rsidRPr="000507B0">
        <w:rPr>
          <w:rFonts w:ascii="Courier New" w:eastAsia="Calibri" w:hAnsi="Courier New" w:cs="Courier New"/>
          <w:u w:val="single"/>
        </w:rPr>
        <w:t>Applicability to Contracts at or below the Simplified Acquisition Threshold</w:t>
      </w:r>
    </w:p>
    <w:p w:rsidR="008766DC" w:rsidRPr="008766DC" w:rsidRDefault="000507B0" w:rsidP="008766DC">
      <w:pPr>
        <w:tabs>
          <w:tab w:val="left" w:pos="720"/>
        </w:tabs>
        <w:spacing w:line="480" w:lineRule="auto"/>
        <w:rPr>
          <w:rFonts w:ascii="Courier New" w:eastAsia="Calibri" w:hAnsi="Courier New" w:cs="Courier New"/>
        </w:rPr>
      </w:pPr>
      <w:r>
        <w:rPr>
          <w:rFonts w:ascii="Courier New" w:eastAsia="Calibri" w:hAnsi="Courier New" w:cs="Courier New"/>
        </w:rPr>
        <w:tab/>
      </w:r>
      <w:r w:rsidR="008766DC" w:rsidRPr="008766DC">
        <w:rPr>
          <w:rFonts w:ascii="Courier New" w:eastAsia="Calibri" w:hAnsi="Courier New" w:cs="Courier New"/>
        </w:rPr>
        <w:t>41 U.S.C. 1905 governs the applicability of laws to acquisitions at or below the simplified acquisition threshold (SAT).  Section 1905 generally limits the applicability of new laws when agencies are making acquisitions at or below the SAT, but provides that such acquisitions will not be exempt from a provision of law if: (</w:t>
      </w:r>
      <w:proofErr w:type="spellStart"/>
      <w:r w:rsidR="008766DC" w:rsidRPr="008766DC">
        <w:rPr>
          <w:rFonts w:ascii="Courier New" w:eastAsia="Calibri" w:hAnsi="Courier New" w:cs="Courier New"/>
        </w:rPr>
        <w:t>i</w:t>
      </w:r>
      <w:proofErr w:type="spellEnd"/>
      <w:r w:rsidR="008766DC" w:rsidRPr="008766DC">
        <w:rPr>
          <w:rFonts w:ascii="Courier New" w:eastAsia="Calibri" w:hAnsi="Courier New" w:cs="Courier New"/>
        </w:rPr>
        <w:t xml:space="preserve">) the law contains criminal or civil penalties; (ii) the law specifically refers to 41 U.S.C. 1905 and states that the law applies to contracts and subcontracts in amounts not greater than the SAT; or (iii) the FAR Council makes a written determination and finding that it would not be in the best interest of the Federal Government to exempt contracts and </w:t>
      </w:r>
      <w:r w:rsidR="008766DC" w:rsidRPr="008766DC">
        <w:rPr>
          <w:rFonts w:ascii="Courier New" w:eastAsia="Calibri" w:hAnsi="Courier New" w:cs="Courier New"/>
        </w:rPr>
        <w:lastRenderedPageBreak/>
        <w:t xml:space="preserve">subcontracts in amounts not greater than the SAT from the provision of law.  </w:t>
      </w:r>
    </w:p>
    <w:p w:rsidR="008766DC" w:rsidRPr="008766DC" w:rsidRDefault="00A90950" w:rsidP="008766DC">
      <w:pPr>
        <w:tabs>
          <w:tab w:val="left" w:pos="720"/>
        </w:tabs>
        <w:spacing w:line="480" w:lineRule="auto"/>
        <w:rPr>
          <w:rFonts w:ascii="Courier New" w:eastAsia="Calibri" w:hAnsi="Courier New" w:cs="Courier New"/>
        </w:rPr>
      </w:pPr>
      <w:r>
        <w:rPr>
          <w:rFonts w:ascii="Courier New" w:eastAsia="Calibri" w:hAnsi="Courier New" w:cs="Courier New"/>
        </w:rPr>
        <w:tab/>
      </w:r>
      <w:r w:rsidR="008766DC" w:rsidRPr="008766DC">
        <w:rPr>
          <w:rFonts w:ascii="Courier New" w:eastAsia="Calibri" w:hAnsi="Courier New" w:cs="Courier New"/>
        </w:rPr>
        <w:t xml:space="preserve">B.  </w:t>
      </w:r>
      <w:r w:rsidR="008766DC" w:rsidRPr="00A90950">
        <w:rPr>
          <w:rFonts w:ascii="Courier New" w:eastAsia="Calibri" w:hAnsi="Courier New" w:cs="Courier New"/>
          <w:u w:val="single"/>
        </w:rPr>
        <w:t xml:space="preserve">Applicability to Contracts for the Acquisition of Commercial Items, Including </w:t>
      </w:r>
      <w:r w:rsidR="00A23468">
        <w:rPr>
          <w:rFonts w:ascii="Courier New" w:eastAsia="Calibri" w:hAnsi="Courier New" w:cs="Courier New"/>
          <w:u w:val="single"/>
        </w:rPr>
        <w:t xml:space="preserve">COTS </w:t>
      </w:r>
      <w:r w:rsidR="008766DC" w:rsidRPr="00A90950">
        <w:rPr>
          <w:rFonts w:ascii="Courier New" w:eastAsia="Calibri" w:hAnsi="Courier New" w:cs="Courier New"/>
          <w:u w:val="single"/>
        </w:rPr>
        <w:t>Items</w:t>
      </w:r>
    </w:p>
    <w:p w:rsidR="008766DC" w:rsidRPr="008766DC" w:rsidRDefault="00A90950" w:rsidP="008766DC">
      <w:pPr>
        <w:tabs>
          <w:tab w:val="left" w:pos="720"/>
        </w:tabs>
        <w:spacing w:line="480" w:lineRule="auto"/>
        <w:rPr>
          <w:rFonts w:ascii="Courier New" w:eastAsia="Calibri" w:hAnsi="Courier New" w:cs="Courier New"/>
        </w:rPr>
      </w:pPr>
      <w:r>
        <w:rPr>
          <w:rFonts w:ascii="Courier New" w:eastAsia="Calibri" w:hAnsi="Courier New" w:cs="Courier New"/>
        </w:rPr>
        <w:tab/>
      </w:r>
      <w:r w:rsidR="008766DC" w:rsidRPr="008766DC">
        <w:rPr>
          <w:rFonts w:ascii="Courier New" w:eastAsia="Calibri" w:hAnsi="Courier New" w:cs="Courier New"/>
        </w:rPr>
        <w:t>41 U.S.C. 1906 governs the applicability of laws to contracts for the acquisition of commercial items, and is intended to limit the applicability of laws to contracts for the acquisition of commercial items.  Section 1906 provides that if a provision of law contains criminal or civil penalties, or if the FAR Council makes a written determination that it is not in the best interest of the Federal Government to exempt commercial item contracts, the provision of law will apply to contracts for the acquisition of commercial items.</w:t>
      </w:r>
    </w:p>
    <w:p w:rsidR="008766DC" w:rsidRPr="008766DC" w:rsidRDefault="00A90950" w:rsidP="008766DC">
      <w:pPr>
        <w:tabs>
          <w:tab w:val="left" w:pos="720"/>
        </w:tabs>
        <w:spacing w:line="480" w:lineRule="auto"/>
        <w:rPr>
          <w:rFonts w:ascii="Courier New" w:eastAsia="Calibri" w:hAnsi="Courier New" w:cs="Courier New"/>
        </w:rPr>
      </w:pPr>
      <w:r>
        <w:rPr>
          <w:rFonts w:ascii="Courier New" w:eastAsia="Calibri" w:hAnsi="Courier New" w:cs="Courier New"/>
        </w:rPr>
        <w:tab/>
      </w:r>
      <w:r w:rsidR="008766DC" w:rsidRPr="008766DC">
        <w:rPr>
          <w:rFonts w:ascii="Courier New" w:eastAsia="Calibri" w:hAnsi="Courier New" w:cs="Courier New"/>
        </w:rPr>
        <w:t>Finally, 41 U.S.C. 1907 st</w:t>
      </w:r>
      <w:r w:rsidR="00A23468">
        <w:rPr>
          <w:rFonts w:ascii="Courier New" w:eastAsia="Calibri" w:hAnsi="Courier New" w:cs="Courier New"/>
        </w:rPr>
        <w:t xml:space="preserve">ates that acquisitions of </w:t>
      </w:r>
      <w:r w:rsidR="008766DC" w:rsidRPr="008766DC">
        <w:rPr>
          <w:rFonts w:ascii="Courier New" w:eastAsia="Calibri" w:hAnsi="Courier New" w:cs="Courier New"/>
        </w:rPr>
        <w:t>COTS items will be exempt from a provision of law unless the law (</w:t>
      </w:r>
      <w:proofErr w:type="spellStart"/>
      <w:r w:rsidR="008766DC" w:rsidRPr="008766DC">
        <w:rPr>
          <w:rFonts w:ascii="Courier New" w:eastAsia="Calibri" w:hAnsi="Courier New" w:cs="Courier New"/>
        </w:rPr>
        <w:t>i</w:t>
      </w:r>
      <w:proofErr w:type="spellEnd"/>
      <w:r w:rsidR="008766DC" w:rsidRPr="008766DC">
        <w:rPr>
          <w:rFonts w:ascii="Courier New" w:eastAsia="Calibri" w:hAnsi="Courier New" w:cs="Courier New"/>
        </w:rPr>
        <w:t xml:space="preserve">) contains criminal or civil penalties; (ii) specifically refers to 41 U.S.C. 1907 and states that the law applies to acquisitions of COTS items; (iii) concerns authorities or responsibilities under the Small Business Act (15 U.S.C. 644) or bid protest procedures developed under the authority of 31 U.S.C. 3551 et seq., 10 U.S.C. 2305(e) and (f), or 41 U.S.C. 3706 and 3707; or (iv) the Administrator for Federal Procurement Policy makes a written determination and finding that would not be in the best interest of the Federal Government to exempt </w:t>
      </w:r>
      <w:r w:rsidR="008766DC" w:rsidRPr="008766DC">
        <w:rPr>
          <w:rFonts w:ascii="Courier New" w:eastAsia="Calibri" w:hAnsi="Courier New" w:cs="Courier New"/>
        </w:rPr>
        <w:lastRenderedPageBreak/>
        <w:t>contracts for the procurement of COTS items from the provision of law.</w:t>
      </w:r>
    </w:p>
    <w:p w:rsidR="008766DC" w:rsidRPr="008766DC" w:rsidRDefault="00A90950" w:rsidP="008766DC">
      <w:pPr>
        <w:tabs>
          <w:tab w:val="left" w:pos="720"/>
        </w:tabs>
        <w:spacing w:line="480" w:lineRule="auto"/>
        <w:rPr>
          <w:rFonts w:ascii="Courier New" w:eastAsia="Calibri" w:hAnsi="Courier New" w:cs="Courier New"/>
        </w:rPr>
      </w:pPr>
      <w:r>
        <w:rPr>
          <w:rFonts w:ascii="Courier New" w:eastAsia="Calibri" w:hAnsi="Courier New" w:cs="Courier New"/>
        </w:rPr>
        <w:tab/>
      </w:r>
      <w:r w:rsidR="008766DC" w:rsidRPr="008766DC">
        <w:rPr>
          <w:rFonts w:ascii="Courier New" w:eastAsia="Calibri" w:hAnsi="Courier New" w:cs="Courier New"/>
        </w:rPr>
        <w:t xml:space="preserve">C.  </w:t>
      </w:r>
      <w:r w:rsidR="008766DC" w:rsidRPr="00A90950">
        <w:rPr>
          <w:rFonts w:ascii="Courier New" w:eastAsia="Calibri" w:hAnsi="Courier New" w:cs="Courier New"/>
          <w:u w:val="single"/>
        </w:rPr>
        <w:t>Determinations</w:t>
      </w:r>
      <w:r w:rsidR="008766DC" w:rsidRPr="008766DC">
        <w:rPr>
          <w:rFonts w:ascii="Courier New" w:eastAsia="Calibri" w:hAnsi="Courier New" w:cs="Courier New"/>
        </w:rPr>
        <w:t xml:space="preserve"> </w:t>
      </w:r>
    </w:p>
    <w:p w:rsidR="008766DC" w:rsidRPr="008766DC" w:rsidRDefault="008766DC" w:rsidP="008766DC">
      <w:pPr>
        <w:tabs>
          <w:tab w:val="left" w:pos="720"/>
        </w:tabs>
        <w:spacing w:line="480" w:lineRule="auto"/>
        <w:ind w:firstLine="720"/>
        <w:rPr>
          <w:rFonts w:ascii="Courier New" w:eastAsia="Calibri" w:hAnsi="Courier New" w:cs="Courier New"/>
        </w:rPr>
      </w:pPr>
      <w:r w:rsidRPr="008766DC">
        <w:rPr>
          <w:rFonts w:ascii="Courier New" w:eastAsia="Calibri" w:hAnsi="Courier New" w:cs="Courier New"/>
        </w:rPr>
        <w:t xml:space="preserve">With the publication of the interim rule </w:t>
      </w:r>
      <w:r>
        <w:rPr>
          <w:rFonts w:ascii="Courier New" w:eastAsia="Calibri" w:hAnsi="Courier New" w:cs="Courier New"/>
        </w:rPr>
        <w:t>t</w:t>
      </w:r>
      <w:r w:rsidRPr="008766DC">
        <w:rPr>
          <w:rFonts w:ascii="Courier New" w:eastAsia="Calibri" w:hAnsi="Courier New" w:cs="Courier New"/>
        </w:rPr>
        <w:t>he FAR Council has determined it was in the best interest of the Government to apply the rule to contracts at or below the SAT and for the acquisition of commercial items.  Likewise, the Administrator for Federal Procurement Policy determined it was in the best interest of the Government to apply this rule to contracts for the acquisition of COTS items.</w:t>
      </w:r>
    </w:p>
    <w:p w:rsidR="00D81045" w:rsidRDefault="008766DC" w:rsidP="008766DC">
      <w:pPr>
        <w:tabs>
          <w:tab w:val="left" w:pos="720"/>
        </w:tabs>
        <w:spacing w:line="480" w:lineRule="auto"/>
        <w:ind w:firstLine="720"/>
        <w:rPr>
          <w:rFonts w:ascii="Courier New" w:eastAsia="Calibri" w:hAnsi="Courier New" w:cs="Courier New"/>
        </w:rPr>
      </w:pPr>
      <w:r w:rsidRPr="008766DC">
        <w:rPr>
          <w:rFonts w:ascii="Courier New" w:eastAsia="Calibri" w:hAnsi="Courier New" w:cs="Courier New"/>
        </w:rPr>
        <w:t>While the law does not specifically address acquisitions of commercial items, including COTS items, there is an unacceptable level of risk for the Government in buying hardware, software, or services developed or provided in whole or in part by Kaspersky Lab.  This level of risk is not alleviated by the fact that the item being acquired has been sold or offered for sale to the general public, either in the same form or a modified form as sold to the Government (i.e., that it is a commercial item or COTS item), nor by the small size of the purchase (i.e., at or below the SAT).  As a result, agencies may face increased exposure for violating the law and unknowingly acquiring a covered article absent coverage of these types of acquisitions by this rule.</w:t>
      </w:r>
    </w:p>
    <w:p w:rsidR="008766DC" w:rsidRDefault="00D81045" w:rsidP="008766DC">
      <w:pPr>
        <w:tabs>
          <w:tab w:val="left" w:pos="360"/>
          <w:tab w:val="left" w:pos="720"/>
        </w:tabs>
        <w:spacing w:line="480" w:lineRule="auto"/>
        <w:rPr>
          <w:rFonts w:ascii="Courier New" w:eastAsia="Calibri" w:hAnsi="Courier New" w:cs="Courier New"/>
        </w:rPr>
      </w:pPr>
      <w:r w:rsidRPr="0032194C">
        <w:rPr>
          <w:rFonts w:ascii="Courier New" w:eastAsia="Calibri" w:hAnsi="Courier New" w:cs="Courier New"/>
          <w:b/>
        </w:rPr>
        <w:t>IV</w:t>
      </w:r>
      <w:proofErr w:type="gramStart"/>
      <w:r w:rsidRPr="0032194C">
        <w:rPr>
          <w:rFonts w:ascii="Courier New" w:eastAsia="Calibri" w:hAnsi="Courier New" w:cs="Courier New"/>
          <w:b/>
        </w:rPr>
        <w:t xml:space="preserve">. </w:t>
      </w:r>
      <w:r w:rsidR="00081A34">
        <w:rPr>
          <w:rFonts w:ascii="Courier New" w:eastAsia="Calibri" w:hAnsi="Courier New" w:cs="Courier New"/>
          <w:b/>
        </w:rPr>
        <w:t xml:space="preserve"> </w:t>
      </w:r>
      <w:r w:rsidR="008766DC" w:rsidRPr="008766DC">
        <w:rPr>
          <w:rFonts w:ascii="Courier New" w:eastAsia="Calibri" w:hAnsi="Courier New" w:cs="Courier New"/>
          <w:b/>
        </w:rPr>
        <w:t>Executive</w:t>
      </w:r>
      <w:proofErr w:type="gramEnd"/>
      <w:r w:rsidR="008766DC" w:rsidRPr="008766DC">
        <w:rPr>
          <w:rFonts w:ascii="Courier New" w:eastAsia="Calibri" w:hAnsi="Courier New" w:cs="Courier New"/>
          <w:b/>
        </w:rPr>
        <w:t xml:space="preserve"> Orders 12866 and 13563</w:t>
      </w:r>
    </w:p>
    <w:p w:rsidR="00491AF5" w:rsidRPr="00AE0F1E" w:rsidRDefault="008766DC" w:rsidP="00392378">
      <w:pPr>
        <w:tabs>
          <w:tab w:val="left" w:pos="720"/>
        </w:tabs>
        <w:spacing w:line="480" w:lineRule="auto"/>
        <w:ind w:firstLine="720"/>
        <w:rPr>
          <w:rFonts w:ascii="Courier New" w:hAnsi="Courier New" w:cs="Courier New"/>
        </w:rPr>
      </w:pPr>
      <w:r w:rsidRPr="008766DC">
        <w:rPr>
          <w:rFonts w:ascii="Courier New" w:hAnsi="Courier New" w:cs="Courier New"/>
          <w:color w:val="000000"/>
        </w:rPr>
        <w:lastRenderedPageBreak/>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w:t>
      </w:r>
      <w:r w:rsidR="004171C9" w:rsidRPr="00AE0F1E">
        <w:rPr>
          <w:rFonts w:ascii="Courier New" w:hAnsi="Courier New" w:cs="Courier New"/>
        </w:rPr>
        <w:t>This is not a significant regulatory action and, therefore, was not subject to review under section 6(b) of E.O. 12866, Regulatory Planning and Review, dated September 30, 1993.  This rule is not a major rule under 5 U.S.C. 804</w:t>
      </w:r>
      <w:r w:rsidRPr="008766DC">
        <w:rPr>
          <w:rFonts w:ascii="Courier New" w:hAnsi="Courier New" w:cs="Courier New"/>
          <w:color w:val="000000"/>
        </w:rPr>
        <w:t>.</w:t>
      </w:r>
      <w:r w:rsidR="00E451D9" w:rsidRPr="00AE0F1E">
        <w:rPr>
          <w:rFonts w:ascii="Courier New" w:hAnsi="Courier New" w:cs="Courier New"/>
        </w:rPr>
        <w:t xml:space="preserve"> </w:t>
      </w:r>
    </w:p>
    <w:p w:rsidR="00491AF5" w:rsidRPr="00A43F46" w:rsidRDefault="00491AF5" w:rsidP="00491AF5">
      <w:pPr>
        <w:tabs>
          <w:tab w:val="left" w:pos="360"/>
        </w:tabs>
        <w:spacing w:line="480" w:lineRule="auto"/>
        <w:rPr>
          <w:rFonts w:ascii="Courier New" w:hAnsi="Courier New" w:cs="Courier New"/>
          <w:b/>
        </w:rPr>
      </w:pPr>
      <w:r w:rsidRPr="00A43F46">
        <w:rPr>
          <w:rFonts w:ascii="Courier New" w:hAnsi="Courier New" w:cs="Courier New"/>
          <w:b/>
        </w:rPr>
        <w:t xml:space="preserve">V. </w:t>
      </w:r>
      <w:r w:rsidR="00081A34">
        <w:rPr>
          <w:rFonts w:ascii="Courier New" w:hAnsi="Courier New" w:cs="Courier New"/>
          <w:b/>
        </w:rPr>
        <w:t xml:space="preserve"> </w:t>
      </w:r>
      <w:r w:rsidRPr="00A43F46">
        <w:rPr>
          <w:rFonts w:ascii="Courier New" w:hAnsi="Courier New" w:cs="Courier New"/>
          <w:b/>
        </w:rPr>
        <w:t>Executive Order 13771</w:t>
      </w:r>
    </w:p>
    <w:p w:rsidR="00E451D9" w:rsidRPr="00A43F46" w:rsidRDefault="00081A34" w:rsidP="00081A34">
      <w:pPr>
        <w:spacing w:line="480" w:lineRule="auto"/>
        <w:rPr>
          <w:rFonts w:ascii="Courier New" w:hAnsi="Courier New" w:cs="Courier New"/>
        </w:rPr>
      </w:pPr>
      <w:r>
        <w:rPr>
          <w:rFonts w:ascii="Courier New" w:hAnsi="Courier New" w:cs="Courier New"/>
        </w:rPr>
        <w:tab/>
      </w:r>
      <w:r w:rsidR="00392378" w:rsidRPr="00392378">
        <w:rPr>
          <w:rFonts w:ascii="Courier New" w:hAnsi="Courier New" w:cs="Courier New"/>
        </w:rPr>
        <w:t xml:space="preserve">This rule is not </w:t>
      </w:r>
      <w:r w:rsidR="004171C9">
        <w:rPr>
          <w:rFonts w:ascii="Courier New" w:hAnsi="Courier New" w:cs="Courier New"/>
        </w:rPr>
        <w:t xml:space="preserve">subject to </w:t>
      </w:r>
      <w:r w:rsidR="00392378" w:rsidRPr="00392378">
        <w:rPr>
          <w:rFonts w:ascii="Courier New" w:hAnsi="Courier New" w:cs="Courier New"/>
        </w:rPr>
        <w:t>E</w:t>
      </w:r>
      <w:r w:rsidR="0031190E">
        <w:rPr>
          <w:rFonts w:ascii="Courier New" w:hAnsi="Courier New" w:cs="Courier New"/>
        </w:rPr>
        <w:t>.</w:t>
      </w:r>
      <w:r w:rsidR="00392378" w:rsidRPr="00392378">
        <w:rPr>
          <w:rFonts w:ascii="Courier New" w:hAnsi="Courier New" w:cs="Courier New"/>
        </w:rPr>
        <w:t>O</w:t>
      </w:r>
      <w:r w:rsidR="0031190E">
        <w:rPr>
          <w:rFonts w:ascii="Courier New" w:hAnsi="Courier New" w:cs="Courier New"/>
        </w:rPr>
        <w:t>.</w:t>
      </w:r>
      <w:r w:rsidR="00392378" w:rsidRPr="00392378">
        <w:rPr>
          <w:rFonts w:ascii="Courier New" w:hAnsi="Courier New" w:cs="Courier New"/>
        </w:rPr>
        <w:t xml:space="preserve"> 1</w:t>
      </w:r>
      <w:r w:rsidR="00BA5FBD">
        <w:rPr>
          <w:rFonts w:ascii="Courier New" w:hAnsi="Courier New" w:cs="Courier New"/>
        </w:rPr>
        <w:t>3771</w:t>
      </w:r>
      <w:r w:rsidR="004171C9">
        <w:rPr>
          <w:rFonts w:ascii="Courier New" w:hAnsi="Courier New" w:cs="Courier New"/>
        </w:rPr>
        <w:t xml:space="preserve">, because this rule is not a </w:t>
      </w:r>
      <w:r w:rsidR="00392378" w:rsidRPr="00392378">
        <w:rPr>
          <w:rFonts w:ascii="Courier New" w:hAnsi="Courier New" w:cs="Courier New"/>
        </w:rPr>
        <w:t xml:space="preserve">significant </w:t>
      </w:r>
      <w:r w:rsidR="004171C9">
        <w:rPr>
          <w:rFonts w:ascii="Courier New" w:hAnsi="Courier New" w:cs="Courier New"/>
        </w:rPr>
        <w:t xml:space="preserve">regulatory action </w:t>
      </w:r>
      <w:r w:rsidR="00392378" w:rsidRPr="00392378">
        <w:rPr>
          <w:rFonts w:ascii="Courier New" w:hAnsi="Courier New" w:cs="Courier New"/>
        </w:rPr>
        <w:t>under E</w:t>
      </w:r>
      <w:r w:rsidR="0031190E">
        <w:rPr>
          <w:rFonts w:ascii="Courier New" w:hAnsi="Courier New" w:cs="Courier New"/>
        </w:rPr>
        <w:t>.</w:t>
      </w:r>
      <w:r w:rsidR="00392378" w:rsidRPr="00392378">
        <w:rPr>
          <w:rFonts w:ascii="Courier New" w:hAnsi="Courier New" w:cs="Courier New"/>
        </w:rPr>
        <w:t>O</w:t>
      </w:r>
      <w:r w:rsidR="0031190E">
        <w:rPr>
          <w:rFonts w:ascii="Courier New" w:hAnsi="Courier New" w:cs="Courier New"/>
        </w:rPr>
        <w:t>.</w:t>
      </w:r>
      <w:r w:rsidR="00392378" w:rsidRPr="00392378">
        <w:rPr>
          <w:rFonts w:ascii="Courier New" w:hAnsi="Courier New" w:cs="Courier New"/>
        </w:rPr>
        <w:t xml:space="preserve"> 12866.</w:t>
      </w:r>
    </w:p>
    <w:p w:rsidR="00E451D9" w:rsidRPr="00835328" w:rsidRDefault="008165AB" w:rsidP="00E451D9">
      <w:pPr>
        <w:tabs>
          <w:tab w:val="left" w:pos="360"/>
          <w:tab w:val="left" w:pos="1440"/>
        </w:tabs>
        <w:spacing w:line="480" w:lineRule="auto"/>
        <w:rPr>
          <w:rFonts w:ascii="Courier New" w:hAnsi="Courier New" w:cs="Courier New"/>
          <w:b/>
        </w:rPr>
      </w:pPr>
      <w:r w:rsidRPr="00A43F46">
        <w:rPr>
          <w:rFonts w:ascii="Courier New" w:hAnsi="Courier New" w:cs="Courier New"/>
          <w:b/>
        </w:rPr>
        <w:t>V</w:t>
      </w:r>
      <w:r w:rsidR="00491AF5" w:rsidRPr="00A43F46">
        <w:rPr>
          <w:rFonts w:ascii="Courier New" w:hAnsi="Courier New" w:cs="Courier New"/>
          <w:b/>
        </w:rPr>
        <w:t>I</w:t>
      </w:r>
      <w:proofErr w:type="gramStart"/>
      <w:r w:rsidR="00E451D9" w:rsidRPr="00A43F46">
        <w:rPr>
          <w:rFonts w:ascii="Courier New" w:hAnsi="Courier New" w:cs="Courier New"/>
          <w:b/>
        </w:rPr>
        <w:t xml:space="preserve">. </w:t>
      </w:r>
      <w:r w:rsidR="00081A34">
        <w:rPr>
          <w:rFonts w:ascii="Courier New" w:hAnsi="Courier New" w:cs="Courier New"/>
          <w:b/>
        </w:rPr>
        <w:t xml:space="preserve"> </w:t>
      </w:r>
      <w:r w:rsidR="00E451D9" w:rsidRPr="00A43F46">
        <w:rPr>
          <w:rFonts w:ascii="Courier New" w:hAnsi="Courier New" w:cs="Courier New"/>
          <w:b/>
        </w:rPr>
        <w:t>R</w:t>
      </w:r>
      <w:r w:rsidR="00E451D9" w:rsidRPr="00835328">
        <w:rPr>
          <w:rFonts w:ascii="Courier New" w:hAnsi="Courier New" w:cs="Courier New"/>
          <w:b/>
        </w:rPr>
        <w:t>egulatory</w:t>
      </w:r>
      <w:proofErr w:type="gramEnd"/>
      <w:r w:rsidR="00E451D9" w:rsidRPr="00835328">
        <w:rPr>
          <w:rFonts w:ascii="Courier New" w:hAnsi="Courier New" w:cs="Courier New"/>
          <w:b/>
        </w:rPr>
        <w:t xml:space="preserve"> Flexibility Act</w:t>
      </w:r>
    </w:p>
    <w:p w:rsidR="00E451D9" w:rsidRDefault="00180812" w:rsidP="00081A34">
      <w:pPr>
        <w:spacing w:line="480" w:lineRule="auto"/>
        <w:rPr>
          <w:rFonts w:ascii="Courier New" w:hAnsi="Courier New" w:cs="Courier New"/>
        </w:rPr>
      </w:pPr>
      <w:r>
        <w:rPr>
          <w:rFonts w:ascii="Courier New" w:hAnsi="Courier New" w:cs="Courier New"/>
        </w:rPr>
        <w:tab/>
      </w:r>
      <w:r w:rsidR="00392378">
        <w:rPr>
          <w:rFonts w:ascii="Courier New" w:hAnsi="Courier New" w:cs="Courier New"/>
        </w:rPr>
        <w:t xml:space="preserve">A final </w:t>
      </w:r>
      <w:r w:rsidR="00392378" w:rsidRPr="00392378">
        <w:rPr>
          <w:rFonts w:ascii="Courier New" w:hAnsi="Courier New" w:cs="Courier New"/>
        </w:rPr>
        <w:t xml:space="preserve">Regulatory Flexibility Analysis (FRFA) consistent with the Regulatory Flexibility Act, 5 U.S.C. 601, </w:t>
      </w:r>
      <w:proofErr w:type="gramStart"/>
      <w:r w:rsidR="00392378" w:rsidRPr="00392378">
        <w:rPr>
          <w:rFonts w:ascii="Courier New" w:hAnsi="Courier New" w:cs="Courier New"/>
        </w:rPr>
        <w:t>et</w:t>
      </w:r>
      <w:proofErr w:type="gramEnd"/>
      <w:r w:rsidR="00392378" w:rsidRPr="00392378">
        <w:rPr>
          <w:rFonts w:ascii="Courier New" w:hAnsi="Courier New" w:cs="Courier New"/>
        </w:rPr>
        <w:t xml:space="preserve"> seq</w:t>
      </w:r>
      <w:r w:rsidR="00BA5FBD">
        <w:rPr>
          <w:rFonts w:ascii="Courier New" w:hAnsi="Courier New" w:cs="Courier New"/>
        </w:rPr>
        <w:t>.</w:t>
      </w:r>
      <w:r w:rsidR="008A4B96">
        <w:rPr>
          <w:rFonts w:ascii="Courier New" w:hAnsi="Courier New" w:cs="Courier New"/>
        </w:rPr>
        <w:t xml:space="preserve"> was prepared</w:t>
      </w:r>
      <w:r w:rsidR="00392378" w:rsidRPr="00392378">
        <w:rPr>
          <w:rFonts w:ascii="Courier New" w:hAnsi="Courier New" w:cs="Courier New"/>
        </w:rPr>
        <w:t xml:space="preserve">. </w:t>
      </w:r>
      <w:r w:rsidR="0031190E">
        <w:rPr>
          <w:rFonts w:ascii="Courier New" w:hAnsi="Courier New" w:cs="Courier New"/>
        </w:rPr>
        <w:t xml:space="preserve"> </w:t>
      </w:r>
      <w:r w:rsidR="00392378" w:rsidRPr="00392378">
        <w:rPr>
          <w:rFonts w:ascii="Courier New" w:hAnsi="Courier New" w:cs="Courier New"/>
        </w:rPr>
        <w:t>The FRFA is summarized below</w:t>
      </w:r>
      <w:r w:rsidR="00392378">
        <w:rPr>
          <w:rFonts w:ascii="Courier New" w:hAnsi="Courier New" w:cs="Courier New"/>
        </w:rPr>
        <w:t>.</w:t>
      </w:r>
    </w:p>
    <w:p w:rsidR="004171C9" w:rsidRDefault="004171C9" w:rsidP="004171C9">
      <w:pPr>
        <w:ind w:left="720" w:right="720" w:firstLine="720"/>
        <w:jc w:val="both"/>
        <w:rPr>
          <w:rFonts w:ascii="Courier New" w:hAnsi="Courier New" w:cs="Courier New"/>
          <w:sz w:val="20"/>
          <w:szCs w:val="20"/>
        </w:rPr>
      </w:pPr>
      <w:proofErr w:type="gramStart"/>
      <w:r w:rsidRPr="004171C9">
        <w:rPr>
          <w:rFonts w:ascii="Courier New" w:hAnsi="Courier New" w:cs="Courier New"/>
          <w:sz w:val="20"/>
          <w:szCs w:val="20"/>
        </w:rPr>
        <w:t>This final rule implements section 1634 of Division A of the National Defense Authorization Act (NDAA) for Fiscal Year (FY) 2018 (Pub.</w:t>
      </w:r>
      <w:proofErr w:type="gramEnd"/>
      <w:r w:rsidRPr="004171C9">
        <w:rPr>
          <w:rFonts w:ascii="Courier New" w:hAnsi="Courier New" w:cs="Courier New"/>
          <w:sz w:val="20"/>
          <w:szCs w:val="20"/>
        </w:rPr>
        <w:t xml:space="preserve"> </w:t>
      </w:r>
      <w:proofErr w:type="gramStart"/>
      <w:r w:rsidRPr="004171C9">
        <w:rPr>
          <w:rFonts w:ascii="Courier New" w:hAnsi="Courier New" w:cs="Courier New"/>
          <w:sz w:val="20"/>
          <w:szCs w:val="20"/>
        </w:rPr>
        <w:t>L. 115-91).</w:t>
      </w:r>
      <w:proofErr w:type="gramEnd"/>
      <w:r w:rsidRPr="004171C9">
        <w:rPr>
          <w:rFonts w:ascii="Courier New" w:hAnsi="Courier New" w:cs="Courier New"/>
          <w:sz w:val="20"/>
          <w:szCs w:val="20"/>
        </w:rPr>
        <w:t xml:space="preserve">  The objective of the rule is to prescribe appropriate policies and procedures to enable agencies to determine that they are not purchasing articles that section 1634 prohibits for use by the Government on or after October 1, 2018.</w:t>
      </w:r>
    </w:p>
    <w:p w:rsidR="004171C9" w:rsidRPr="004171C9" w:rsidRDefault="004171C9" w:rsidP="004171C9">
      <w:pPr>
        <w:ind w:left="720" w:right="720" w:firstLine="720"/>
        <w:jc w:val="both"/>
        <w:rPr>
          <w:rFonts w:ascii="Courier New" w:hAnsi="Courier New" w:cs="Courier New"/>
          <w:sz w:val="20"/>
          <w:szCs w:val="20"/>
        </w:rPr>
      </w:pPr>
    </w:p>
    <w:p w:rsidR="004171C9" w:rsidRDefault="004171C9" w:rsidP="004171C9">
      <w:pPr>
        <w:ind w:left="720" w:right="720" w:firstLine="720"/>
        <w:jc w:val="both"/>
        <w:rPr>
          <w:rFonts w:ascii="Courier New" w:hAnsi="Courier New" w:cs="Courier New"/>
          <w:sz w:val="20"/>
          <w:szCs w:val="20"/>
        </w:rPr>
      </w:pPr>
      <w:r w:rsidRPr="004171C9">
        <w:rPr>
          <w:rFonts w:ascii="Courier New" w:hAnsi="Courier New" w:cs="Courier New"/>
          <w:sz w:val="20"/>
          <w:szCs w:val="20"/>
        </w:rPr>
        <w:lastRenderedPageBreak/>
        <w:t>There were no significant issues raised by the public in response to the Initial Regulatory Flexibility Analysis provided in the interim rule.</w:t>
      </w:r>
    </w:p>
    <w:p w:rsidR="004171C9" w:rsidRDefault="004171C9" w:rsidP="004171C9">
      <w:pPr>
        <w:ind w:left="720" w:right="720" w:firstLine="720"/>
        <w:jc w:val="both"/>
        <w:rPr>
          <w:rFonts w:ascii="Courier New" w:hAnsi="Courier New" w:cs="Courier New"/>
          <w:sz w:val="20"/>
          <w:szCs w:val="20"/>
        </w:rPr>
      </w:pPr>
    </w:p>
    <w:p w:rsidR="0031190E" w:rsidRDefault="0031190E" w:rsidP="008A4B96">
      <w:pPr>
        <w:ind w:left="720" w:right="720" w:firstLine="720"/>
        <w:jc w:val="both"/>
        <w:rPr>
          <w:rFonts w:ascii="Courier New" w:hAnsi="Courier New" w:cs="Courier New"/>
          <w:sz w:val="20"/>
          <w:szCs w:val="20"/>
        </w:rPr>
      </w:pPr>
      <w:r w:rsidRPr="008A4B96">
        <w:rPr>
          <w:rFonts w:ascii="Courier New" w:hAnsi="Courier New" w:cs="Courier New"/>
          <w:sz w:val="20"/>
          <w:szCs w:val="20"/>
        </w:rPr>
        <w:t>The rule applies to all contractors and subcontractors, regardless of size.  Data from the Federal Procurement Data System (FPDS) indicates that the Government awarded contracts to an average of 93,792 unique entities in FY 2017 and FY 2018, of which an average of 68,778 (73</w:t>
      </w:r>
      <w:r w:rsidR="008A4B96">
        <w:rPr>
          <w:rFonts w:ascii="Courier New" w:hAnsi="Courier New" w:cs="Courier New"/>
          <w:sz w:val="20"/>
          <w:szCs w:val="20"/>
        </w:rPr>
        <w:t xml:space="preserve"> percent</w:t>
      </w:r>
      <w:r w:rsidRPr="008A4B96">
        <w:rPr>
          <w:rFonts w:ascii="Courier New" w:hAnsi="Courier New" w:cs="Courier New"/>
          <w:sz w:val="20"/>
          <w:szCs w:val="20"/>
        </w:rPr>
        <w:t>) were small entities.  It is estimated that reports will be submitted by 5</w:t>
      </w:r>
      <w:r w:rsidR="008A4B96">
        <w:rPr>
          <w:rFonts w:ascii="Courier New" w:hAnsi="Courier New" w:cs="Courier New"/>
          <w:sz w:val="20"/>
          <w:szCs w:val="20"/>
        </w:rPr>
        <w:t xml:space="preserve"> percent</w:t>
      </w:r>
      <w:r w:rsidRPr="008A4B96">
        <w:rPr>
          <w:rFonts w:ascii="Courier New" w:hAnsi="Courier New" w:cs="Courier New"/>
          <w:sz w:val="20"/>
          <w:szCs w:val="20"/>
        </w:rPr>
        <w:t xml:space="preserve"> of contractors, or 3,439 small entities.</w:t>
      </w:r>
    </w:p>
    <w:p w:rsidR="008A4B96" w:rsidRPr="008A4B96" w:rsidRDefault="008A4B96" w:rsidP="008A4B96">
      <w:pPr>
        <w:ind w:left="720" w:right="720" w:firstLine="720"/>
        <w:jc w:val="both"/>
        <w:rPr>
          <w:rFonts w:ascii="Courier New" w:hAnsi="Courier New" w:cs="Courier New"/>
          <w:sz w:val="20"/>
          <w:szCs w:val="20"/>
        </w:rPr>
      </w:pPr>
    </w:p>
    <w:p w:rsidR="0031190E" w:rsidRDefault="0031190E" w:rsidP="008A4B96">
      <w:pPr>
        <w:ind w:left="720" w:right="720" w:firstLine="720"/>
        <w:jc w:val="both"/>
        <w:rPr>
          <w:rFonts w:ascii="Courier New" w:hAnsi="Courier New" w:cs="Courier New"/>
          <w:sz w:val="20"/>
          <w:szCs w:val="20"/>
        </w:rPr>
      </w:pPr>
      <w:r w:rsidRPr="008A4B96">
        <w:rPr>
          <w:rFonts w:ascii="Courier New" w:hAnsi="Courier New" w:cs="Courier New"/>
          <w:sz w:val="20"/>
          <w:szCs w:val="20"/>
        </w:rPr>
        <w:t xml:space="preserve">The rule requires contractors and subcontractors that are subject to the clause to report to the contracting officer, or for </w:t>
      </w:r>
      <w:proofErr w:type="gramStart"/>
      <w:r w:rsidRPr="008A4B96">
        <w:rPr>
          <w:rFonts w:ascii="Courier New" w:hAnsi="Courier New" w:cs="Courier New"/>
          <w:sz w:val="20"/>
          <w:szCs w:val="20"/>
        </w:rPr>
        <w:t>DoD</w:t>
      </w:r>
      <w:proofErr w:type="gramEnd"/>
      <w:r w:rsidRPr="008A4B96">
        <w:rPr>
          <w:rFonts w:ascii="Courier New" w:hAnsi="Courier New" w:cs="Courier New"/>
          <w:sz w:val="20"/>
          <w:szCs w:val="20"/>
        </w:rPr>
        <w:t>, to the website listed in the clause, any discovery of a covered article during the course of contract performance.</w:t>
      </w:r>
    </w:p>
    <w:p w:rsidR="008A4B96" w:rsidRPr="008A4B96" w:rsidRDefault="008A4B96" w:rsidP="008A4B96">
      <w:pPr>
        <w:ind w:left="720" w:right="720" w:firstLine="720"/>
        <w:jc w:val="both"/>
        <w:rPr>
          <w:rFonts w:ascii="Courier New" w:hAnsi="Courier New" w:cs="Courier New"/>
          <w:sz w:val="20"/>
          <w:szCs w:val="20"/>
        </w:rPr>
      </w:pPr>
    </w:p>
    <w:p w:rsidR="0031190E" w:rsidRDefault="0031190E" w:rsidP="008A4B96">
      <w:pPr>
        <w:ind w:left="720" w:right="720" w:firstLine="720"/>
        <w:jc w:val="both"/>
        <w:rPr>
          <w:rFonts w:ascii="Courier New" w:hAnsi="Courier New" w:cs="Courier New"/>
          <w:color w:val="000000"/>
          <w:sz w:val="20"/>
          <w:szCs w:val="20"/>
        </w:rPr>
      </w:pPr>
      <w:r w:rsidRPr="008A4B96">
        <w:rPr>
          <w:rFonts w:ascii="Courier New" w:hAnsi="Courier New" w:cs="Courier New"/>
          <w:sz w:val="20"/>
          <w:szCs w:val="20"/>
        </w:rPr>
        <w:t xml:space="preserve">Because of the nature of the prohibition enacted by section 1634, it is not possible to </w:t>
      </w:r>
      <w:r w:rsidRPr="008A4B96">
        <w:rPr>
          <w:rFonts w:ascii="Courier New" w:hAnsi="Courier New" w:cs="Courier New"/>
          <w:color w:val="000000"/>
          <w:sz w:val="20"/>
          <w:szCs w:val="20"/>
        </w:rPr>
        <w:t xml:space="preserve">establish different compliance or reporting requirements or timetables that take into account the resources available to small entities or to exempt small entities from coverage of the rule, or any part thereof.  </w:t>
      </w:r>
      <w:proofErr w:type="gramStart"/>
      <w:r w:rsidRPr="008A4B96">
        <w:rPr>
          <w:rFonts w:ascii="Courier New" w:hAnsi="Courier New" w:cs="Courier New"/>
          <w:color w:val="000000"/>
          <w:sz w:val="20"/>
          <w:szCs w:val="20"/>
        </w:rPr>
        <w:t>DoD</w:t>
      </w:r>
      <w:proofErr w:type="gramEnd"/>
      <w:r w:rsidRPr="008A4B96">
        <w:rPr>
          <w:rFonts w:ascii="Courier New" w:hAnsi="Courier New" w:cs="Courier New"/>
          <w:color w:val="000000"/>
          <w:sz w:val="20"/>
          <w:szCs w:val="20"/>
        </w:rPr>
        <w:t>, GSA, and NASA were unable to identify any alternatives that would reduce the burden on small entities and still meet the objectives of section 1634.</w:t>
      </w:r>
    </w:p>
    <w:p w:rsidR="008A4B96" w:rsidRPr="008A4B96" w:rsidRDefault="008A4B96" w:rsidP="008A4B96">
      <w:pPr>
        <w:ind w:left="720" w:right="720" w:firstLine="720"/>
        <w:jc w:val="both"/>
        <w:rPr>
          <w:rFonts w:ascii="Courier New" w:hAnsi="Courier New" w:cs="Courier New"/>
          <w:sz w:val="20"/>
          <w:szCs w:val="20"/>
        </w:rPr>
      </w:pPr>
    </w:p>
    <w:p w:rsidR="0031190E" w:rsidRPr="003C2A40" w:rsidRDefault="0031190E" w:rsidP="0031190E">
      <w:pPr>
        <w:autoSpaceDE w:val="0"/>
        <w:autoSpaceDN w:val="0"/>
        <w:adjustRightInd w:val="0"/>
        <w:spacing w:line="480" w:lineRule="auto"/>
        <w:ind w:firstLine="720"/>
        <w:rPr>
          <w:rFonts w:ascii="Courier New" w:hAnsi="Courier New" w:cs="Courier New"/>
          <w:color w:val="000000"/>
        </w:rPr>
      </w:pPr>
      <w:r w:rsidRPr="00E11DF5">
        <w:rPr>
          <w:rFonts w:ascii="Courier New" w:hAnsi="Courier New" w:cs="Courier New"/>
          <w:color w:val="000000"/>
        </w:rPr>
        <w:t>Interested parties may obtain a copy of the FRFA from the Regulatory Secretariat</w:t>
      </w:r>
      <w:r w:rsidR="008A4B96">
        <w:rPr>
          <w:rFonts w:ascii="Courier New" w:hAnsi="Courier New" w:cs="Courier New"/>
          <w:color w:val="000000"/>
        </w:rPr>
        <w:t xml:space="preserve"> Division</w:t>
      </w:r>
      <w:r w:rsidRPr="00E11DF5">
        <w:rPr>
          <w:rFonts w:ascii="Courier New" w:hAnsi="Courier New" w:cs="Courier New"/>
          <w:color w:val="000000"/>
        </w:rPr>
        <w:t xml:space="preserve">. </w:t>
      </w:r>
      <w:r w:rsidR="008A4B96">
        <w:rPr>
          <w:rFonts w:ascii="Courier New" w:hAnsi="Courier New" w:cs="Courier New"/>
          <w:color w:val="000000"/>
        </w:rPr>
        <w:t xml:space="preserve"> </w:t>
      </w:r>
      <w:r w:rsidRPr="00E11DF5">
        <w:rPr>
          <w:rFonts w:ascii="Courier New" w:hAnsi="Courier New" w:cs="Courier New"/>
          <w:color w:val="000000"/>
        </w:rPr>
        <w:t xml:space="preserve">The Regulatory Secretariat </w:t>
      </w:r>
      <w:r w:rsidR="008A4B96">
        <w:rPr>
          <w:rFonts w:ascii="Courier New" w:hAnsi="Courier New" w:cs="Courier New"/>
          <w:color w:val="000000"/>
        </w:rPr>
        <w:t xml:space="preserve">Division </w:t>
      </w:r>
      <w:r w:rsidRPr="00E11DF5">
        <w:rPr>
          <w:rFonts w:ascii="Courier New" w:hAnsi="Courier New" w:cs="Courier New"/>
          <w:color w:val="000000"/>
        </w:rPr>
        <w:t>has submitted a copy of the FRFA to the Chief Counsel for Advocacy of the Small Business Administration.</w:t>
      </w:r>
    </w:p>
    <w:p w:rsidR="00A517E0" w:rsidRDefault="00E451D9" w:rsidP="00281A34">
      <w:pPr>
        <w:pStyle w:val="Default"/>
        <w:spacing w:line="480" w:lineRule="auto"/>
        <w:rPr>
          <w:b/>
        </w:rPr>
      </w:pPr>
      <w:r w:rsidRPr="00A45AA5">
        <w:rPr>
          <w:b/>
        </w:rPr>
        <w:t>VI</w:t>
      </w:r>
      <w:r w:rsidR="00A517E0" w:rsidRPr="00A45AA5">
        <w:rPr>
          <w:b/>
        </w:rPr>
        <w:t>I</w:t>
      </w:r>
      <w:proofErr w:type="gramStart"/>
      <w:r w:rsidR="00DA42B7" w:rsidRPr="00A45AA5">
        <w:rPr>
          <w:b/>
        </w:rPr>
        <w:t>.</w:t>
      </w:r>
      <w:r w:rsidR="00DA42B7">
        <w:rPr>
          <w:b/>
        </w:rPr>
        <w:t xml:space="preserve"> </w:t>
      </w:r>
      <w:r w:rsidR="00D91E4D">
        <w:rPr>
          <w:b/>
        </w:rPr>
        <w:t xml:space="preserve"> </w:t>
      </w:r>
      <w:r w:rsidR="00A517E0">
        <w:rPr>
          <w:b/>
        </w:rPr>
        <w:t>Paperwork</w:t>
      </w:r>
      <w:proofErr w:type="gramEnd"/>
      <w:r w:rsidR="00A517E0">
        <w:rPr>
          <w:b/>
        </w:rPr>
        <w:t xml:space="preserve"> Reduction Act</w:t>
      </w:r>
    </w:p>
    <w:p w:rsidR="00C14E14" w:rsidRDefault="00392378" w:rsidP="0044098B">
      <w:pPr>
        <w:pStyle w:val="Default"/>
        <w:spacing w:line="480" w:lineRule="auto"/>
        <w:ind w:firstLine="720"/>
      </w:pPr>
      <w:r w:rsidRPr="00392378">
        <w:t xml:space="preserve">This rule contains information collection requirements that have been approved by the Office of Management and Budget under the Paperwork Reduction Act (44 U.S.C. </w:t>
      </w:r>
      <w:proofErr w:type="gramStart"/>
      <w:r w:rsidRPr="00392378">
        <w:t>chapter</w:t>
      </w:r>
      <w:proofErr w:type="gramEnd"/>
      <w:r w:rsidRPr="00392378">
        <w:t xml:space="preserve"> 35).  This information collection requirement has been assigned OMB Control Number 9000-0197, entitled “Use of Products and Services of Kaspersky Lab</w:t>
      </w:r>
      <w:r w:rsidR="008A4B96">
        <w:t>”</w:t>
      </w:r>
      <w:r w:rsidRPr="00392378">
        <w:t>.</w:t>
      </w:r>
    </w:p>
    <w:p w:rsidR="00C14E14" w:rsidRDefault="00C14E14">
      <w:pPr>
        <w:rPr>
          <w:rFonts w:ascii="Courier New" w:eastAsia="Calibri" w:hAnsi="Courier New" w:cs="Courier New"/>
          <w:color w:val="000000"/>
        </w:rPr>
      </w:pPr>
      <w:r>
        <w:br w:type="page"/>
      </w:r>
    </w:p>
    <w:p w:rsidR="008218D6" w:rsidRDefault="008218D6" w:rsidP="0044098B">
      <w:pPr>
        <w:pStyle w:val="Default"/>
        <w:spacing w:line="480" w:lineRule="auto"/>
        <w:ind w:firstLine="720"/>
      </w:pPr>
    </w:p>
    <w:p w:rsidR="00E451D9" w:rsidRPr="00835328" w:rsidRDefault="00E451D9" w:rsidP="00E451D9">
      <w:pPr>
        <w:tabs>
          <w:tab w:val="left" w:pos="360"/>
        </w:tabs>
        <w:spacing w:line="480" w:lineRule="auto"/>
        <w:rPr>
          <w:rFonts w:ascii="Courier New" w:hAnsi="Courier New" w:cs="Courier New"/>
          <w:b/>
        </w:rPr>
      </w:pPr>
      <w:r w:rsidRPr="00835328">
        <w:rPr>
          <w:rFonts w:ascii="Courier New" w:hAnsi="Courier New" w:cs="Courier New"/>
          <w:b/>
        </w:rPr>
        <w:t xml:space="preserve">List of Subjects in 48 CFR </w:t>
      </w:r>
      <w:r w:rsidR="002B41C0">
        <w:rPr>
          <w:rFonts w:ascii="Courier New" w:hAnsi="Courier New" w:cs="Courier New"/>
          <w:b/>
        </w:rPr>
        <w:t>p</w:t>
      </w:r>
      <w:r w:rsidR="00A517E0">
        <w:rPr>
          <w:rFonts w:ascii="Courier New" w:hAnsi="Courier New" w:cs="Courier New"/>
          <w:b/>
        </w:rPr>
        <w:t>art</w:t>
      </w:r>
      <w:r w:rsidR="007D1FA7">
        <w:rPr>
          <w:rFonts w:ascii="Courier New" w:hAnsi="Courier New" w:cs="Courier New"/>
          <w:b/>
        </w:rPr>
        <w:t>s</w:t>
      </w:r>
      <w:r w:rsidR="00281A34">
        <w:rPr>
          <w:rFonts w:ascii="Courier New" w:hAnsi="Courier New" w:cs="Courier New"/>
          <w:b/>
        </w:rPr>
        <w:t xml:space="preserve"> </w:t>
      </w:r>
      <w:r w:rsidR="00392378">
        <w:rPr>
          <w:rFonts w:ascii="Courier New" w:hAnsi="Courier New" w:cs="Courier New"/>
          <w:b/>
        </w:rPr>
        <w:t>1</w:t>
      </w:r>
      <w:r w:rsidR="006E1447" w:rsidRPr="006E1447">
        <w:rPr>
          <w:rFonts w:ascii="Courier New" w:hAnsi="Courier New" w:cs="Courier New"/>
          <w:b/>
        </w:rPr>
        <w:t xml:space="preserve">, </w:t>
      </w:r>
      <w:r w:rsidR="00392378">
        <w:rPr>
          <w:rFonts w:ascii="Courier New" w:hAnsi="Courier New" w:cs="Courier New"/>
          <w:b/>
        </w:rPr>
        <w:t>4</w:t>
      </w:r>
      <w:r w:rsidR="006E1447" w:rsidRPr="006E1447">
        <w:rPr>
          <w:rFonts w:ascii="Courier New" w:hAnsi="Courier New" w:cs="Courier New"/>
          <w:b/>
        </w:rPr>
        <w:t>, 1</w:t>
      </w:r>
      <w:r w:rsidR="00392378">
        <w:rPr>
          <w:rFonts w:ascii="Courier New" w:hAnsi="Courier New" w:cs="Courier New"/>
          <w:b/>
        </w:rPr>
        <w:t>3</w:t>
      </w:r>
      <w:r w:rsidR="006E1447" w:rsidRPr="003447E9">
        <w:rPr>
          <w:rFonts w:ascii="Courier New" w:hAnsi="Courier New" w:cs="Courier New"/>
          <w:b/>
        </w:rPr>
        <w:t xml:space="preserve">, </w:t>
      </w:r>
      <w:r w:rsidR="00392378">
        <w:rPr>
          <w:rFonts w:ascii="Courier New" w:hAnsi="Courier New" w:cs="Courier New"/>
          <w:b/>
        </w:rPr>
        <w:t>39</w:t>
      </w:r>
      <w:r w:rsidR="0032194C" w:rsidRPr="003447E9">
        <w:rPr>
          <w:rFonts w:ascii="Courier New" w:hAnsi="Courier New" w:cs="Courier New"/>
          <w:b/>
        </w:rPr>
        <w:t xml:space="preserve">, </w:t>
      </w:r>
      <w:r w:rsidR="006E1447" w:rsidRPr="003447E9">
        <w:rPr>
          <w:rFonts w:ascii="Courier New" w:hAnsi="Courier New" w:cs="Courier New"/>
          <w:b/>
        </w:rPr>
        <w:t>and</w:t>
      </w:r>
      <w:r w:rsidR="006E1447" w:rsidRPr="006E1447">
        <w:rPr>
          <w:rFonts w:ascii="Courier New" w:hAnsi="Courier New" w:cs="Courier New"/>
          <w:b/>
        </w:rPr>
        <w:t xml:space="preserve"> </w:t>
      </w:r>
      <w:r w:rsidR="00392378">
        <w:rPr>
          <w:rFonts w:ascii="Courier New" w:hAnsi="Courier New" w:cs="Courier New"/>
          <w:b/>
        </w:rPr>
        <w:t>5</w:t>
      </w:r>
      <w:r w:rsidR="006E1447" w:rsidRPr="006E1447">
        <w:rPr>
          <w:rFonts w:ascii="Courier New" w:hAnsi="Courier New" w:cs="Courier New"/>
          <w:b/>
        </w:rPr>
        <w:t>2</w:t>
      </w:r>
    </w:p>
    <w:p w:rsidR="00E451D9" w:rsidRPr="00835328" w:rsidRDefault="00A517E0" w:rsidP="00D91E4D">
      <w:pPr>
        <w:spacing w:line="480" w:lineRule="auto"/>
        <w:rPr>
          <w:rFonts w:ascii="Courier New" w:hAnsi="Courier New" w:cs="Courier New"/>
        </w:rPr>
      </w:pPr>
      <w:r>
        <w:rPr>
          <w:rFonts w:ascii="Courier New" w:hAnsi="Courier New" w:cs="Courier New"/>
        </w:rPr>
        <w:tab/>
      </w:r>
      <w:proofErr w:type="gramStart"/>
      <w:r w:rsidR="00E451D9" w:rsidRPr="00835328">
        <w:rPr>
          <w:rFonts w:ascii="Courier New" w:hAnsi="Courier New" w:cs="Courier New"/>
        </w:rPr>
        <w:t>Government procurement.</w:t>
      </w:r>
      <w:proofErr w:type="gramEnd"/>
    </w:p>
    <w:p w:rsidR="00D91E4D" w:rsidRDefault="00D91E4D" w:rsidP="00D91E4D">
      <w:pPr>
        <w:tabs>
          <w:tab w:val="left" w:pos="360"/>
        </w:tabs>
        <w:contextualSpacing/>
        <w:rPr>
          <w:rFonts w:ascii="Courier New" w:eastAsia="Calibri" w:hAnsi="Courier New" w:cs="Courier New"/>
        </w:rPr>
      </w:pPr>
    </w:p>
    <w:p w:rsidR="00D91E4D" w:rsidRPr="00835328" w:rsidRDefault="00D91E4D" w:rsidP="00D91E4D">
      <w:pPr>
        <w:tabs>
          <w:tab w:val="left" w:pos="360"/>
        </w:tabs>
        <w:contextualSpacing/>
        <w:rPr>
          <w:rFonts w:ascii="Courier New" w:eastAsia="Calibri" w:hAnsi="Courier New" w:cs="Courier New"/>
        </w:rPr>
      </w:pPr>
    </w:p>
    <w:p w:rsidR="00E451D9" w:rsidRPr="00835328" w:rsidRDefault="00E451D9" w:rsidP="00D91E4D">
      <w:pPr>
        <w:tabs>
          <w:tab w:val="left" w:pos="360"/>
        </w:tabs>
        <w:contextualSpacing/>
        <w:rPr>
          <w:rFonts w:ascii="Courier New" w:eastAsia="Calibri" w:hAnsi="Courier New" w:cs="Courier New"/>
        </w:rPr>
      </w:pPr>
      <w:r w:rsidRPr="00835328">
        <w:rPr>
          <w:rFonts w:ascii="Courier New" w:eastAsia="Calibri" w:hAnsi="Courier New" w:cs="Courier New"/>
        </w:rPr>
        <w:t xml:space="preserve">William </w:t>
      </w:r>
      <w:r w:rsidR="00A517E0">
        <w:rPr>
          <w:rFonts w:ascii="Courier New" w:eastAsia="Calibri" w:hAnsi="Courier New" w:cs="Courier New"/>
        </w:rPr>
        <w:t xml:space="preserve">F. </w:t>
      </w:r>
      <w:r w:rsidRPr="00835328">
        <w:rPr>
          <w:rFonts w:ascii="Courier New" w:eastAsia="Calibri" w:hAnsi="Courier New" w:cs="Courier New"/>
        </w:rPr>
        <w:t>Clark</w:t>
      </w:r>
      <w:r w:rsidR="00EE545E">
        <w:rPr>
          <w:rFonts w:ascii="Courier New" w:eastAsia="Calibri" w:hAnsi="Courier New" w:cs="Courier New"/>
        </w:rPr>
        <w:t>,</w:t>
      </w:r>
    </w:p>
    <w:p w:rsidR="00E451D9" w:rsidRPr="00835328" w:rsidRDefault="00E451D9" w:rsidP="00D91E4D">
      <w:pPr>
        <w:tabs>
          <w:tab w:val="left" w:pos="360"/>
        </w:tabs>
        <w:contextualSpacing/>
        <w:rPr>
          <w:rFonts w:ascii="Courier New" w:eastAsia="Calibri" w:hAnsi="Courier New" w:cs="Courier New"/>
        </w:rPr>
      </w:pPr>
      <w:r w:rsidRPr="00835328">
        <w:rPr>
          <w:rFonts w:ascii="Courier New" w:eastAsia="Calibri" w:hAnsi="Courier New" w:cs="Courier New"/>
        </w:rPr>
        <w:t>Director,</w:t>
      </w:r>
    </w:p>
    <w:p w:rsidR="00A517E0" w:rsidRDefault="00E451D9" w:rsidP="00A517E0">
      <w:pPr>
        <w:tabs>
          <w:tab w:val="left" w:pos="360"/>
        </w:tabs>
        <w:contextualSpacing/>
        <w:rPr>
          <w:rFonts w:ascii="Courier New" w:eastAsia="Calibri" w:hAnsi="Courier New" w:cs="Courier New"/>
        </w:rPr>
      </w:pPr>
      <w:r w:rsidRPr="00835328">
        <w:rPr>
          <w:rFonts w:ascii="Courier New" w:eastAsia="Calibri" w:hAnsi="Courier New" w:cs="Courier New"/>
        </w:rPr>
        <w:t xml:space="preserve">Office of Government-wide </w:t>
      </w:r>
    </w:p>
    <w:p w:rsidR="00E451D9" w:rsidRPr="00835328" w:rsidRDefault="00A517E0" w:rsidP="00A517E0">
      <w:pPr>
        <w:tabs>
          <w:tab w:val="left" w:pos="360"/>
        </w:tabs>
        <w:contextualSpacing/>
        <w:rPr>
          <w:rFonts w:ascii="Courier New" w:eastAsia="Calibri" w:hAnsi="Courier New" w:cs="Courier New"/>
        </w:rPr>
      </w:pPr>
      <w:r>
        <w:rPr>
          <w:rFonts w:ascii="Courier New" w:eastAsia="Calibri" w:hAnsi="Courier New" w:cs="Courier New"/>
        </w:rPr>
        <w:tab/>
      </w:r>
      <w:r w:rsidR="00E451D9" w:rsidRPr="00835328">
        <w:rPr>
          <w:rFonts w:ascii="Courier New" w:eastAsia="Calibri" w:hAnsi="Courier New" w:cs="Courier New"/>
        </w:rPr>
        <w:t>Acquisition Policy,</w:t>
      </w:r>
    </w:p>
    <w:p w:rsidR="00E451D9" w:rsidRPr="00835328" w:rsidRDefault="00E451D9" w:rsidP="00A517E0">
      <w:pPr>
        <w:tabs>
          <w:tab w:val="left" w:pos="360"/>
        </w:tabs>
        <w:contextualSpacing/>
        <w:rPr>
          <w:rFonts w:ascii="Courier New" w:eastAsia="Calibri" w:hAnsi="Courier New" w:cs="Courier New"/>
        </w:rPr>
      </w:pPr>
      <w:r w:rsidRPr="00835328">
        <w:rPr>
          <w:rFonts w:ascii="Courier New" w:eastAsia="Calibri" w:hAnsi="Courier New" w:cs="Courier New"/>
        </w:rPr>
        <w:t>Office of Acquisition Policy,</w:t>
      </w:r>
    </w:p>
    <w:p w:rsidR="00E451D9" w:rsidRPr="00835328" w:rsidRDefault="00E451D9" w:rsidP="00A517E0">
      <w:pPr>
        <w:tabs>
          <w:tab w:val="left" w:pos="360"/>
        </w:tabs>
        <w:rPr>
          <w:rFonts w:ascii="Courier New" w:hAnsi="Courier New" w:cs="Courier New"/>
        </w:rPr>
      </w:pPr>
      <w:proofErr w:type="gramStart"/>
      <w:r w:rsidRPr="00835328">
        <w:rPr>
          <w:rFonts w:ascii="Courier New" w:eastAsia="Calibri" w:hAnsi="Courier New" w:cs="Courier New"/>
        </w:rPr>
        <w:t>Office of Government-wide Policy.</w:t>
      </w:r>
      <w:proofErr w:type="gramEnd"/>
    </w:p>
    <w:p w:rsidR="00C92515" w:rsidRDefault="00C92515"/>
    <w:p w:rsidR="00EE545E" w:rsidRDefault="00EE545E"/>
    <w:p w:rsidR="00322C7A" w:rsidRPr="00322C7A" w:rsidRDefault="00322C7A" w:rsidP="002B41C0">
      <w:pPr>
        <w:spacing w:line="480" w:lineRule="auto"/>
        <w:ind w:firstLine="720"/>
        <w:rPr>
          <w:rFonts w:ascii="Courier New" w:hAnsi="Courier New" w:cs="Courier New"/>
          <w:b/>
        </w:rPr>
      </w:pPr>
      <w:r w:rsidRPr="00322C7A">
        <w:rPr>
          <w:rFonts w:ascii="Courier New" w:hAnsi="Courier New" w:cs="Courier New"/>
          <w:b/>
        </w:rPr>
        <w:t>INTERIM RULE ADOPTED AS FINAL WITHOUT CHANGE</w:t>
      </w:r>
    </w:p>
    <w:p w:rsidR="00EE545E" w:rsidRDefault="00322C7A" w:rsidP="002B41C0">
      <w:pPr>
        <w:spacing w:line="480" w:lineRule="auto"/>
        <w:ind w:firstLine="720"/>
        <w:rPr>
          <w:rFonts w:ascii="Courier New" w:hAnsi="Courier New" w:cs="Courier New"/>
        </w:rPr>
      </w:pPr>
      <w:r>
        <w:rPr>
          <w:rFonts w:ascii="Courier New" w:hAnsi="Courier New" w:cs="Courier New"/>
        </w:rPr>
        <w:t xml:space="preserve">Accordingly, the interim rule amending 48 CFR parts </w:t>
      </w:r>
      <w:r w:rsidR="00504FB0" w:rsidRPr="00504FB0">
        <w:rPr>
          <w:rFonts w:ascii="Courier New" w:hAnsi="Courier New" w:cs="Courier New"/>
        </w:rPr>
        <w:t xml:space="preserve">1, 4, 13, 39, </w:t>
      </w:r>
      <w:r w:rsidR="00A21C92">
        <w:rPr>
          <w:rFonts w:ascii="Courier New" w:hAnsi="Courier New" w:cs="Courier New"/>
        </w:rPr>
        <w:t xml:space="preserve">and 52 </w:t>
      </w:r>
      <w:r>
        <w:rPr>
          <w:rFonts w:ascii="Courier New" w:hAnsi="Courier New" w:cs="Courier New"/>
        </w:rPr>
        <w:t xml:space="preserve">which was published in the Federal Register at 83 FR  28141 on June 15, 2018, </w:t>
      </w:r>
      <w:proofErr w:type="gramStart"/>
      <w:r>
        <w:rPr>
          <w:rFonts w:ascii="Courier New" w:hAnsi="Courier New" w:cs="Courier New"/>
        </w:rPr>
        <w:t>is</w:t>
      </w:r>
      <w:proofErr w:type="gramEnd"/>
      <w:r>
        <w:rPr>
          <w:rFonts w:ascii="Courier New" w:hAnsi="Courier New" w:cs="Courier New"/>
        </w:rPr>
        <w:t xml:space="preserve"> adopted as a final rule without change.</w:t>
      </w:r>
    </w:p>
    <w:p w:rsidR="00D27E54" w:rsidRPr="00E21B85" w:rsidRDefault="00E21B85" w:rsidP="00E21B85">
      <w:pPr>
        <w:spacing w:line="480" w:lineRule="auto"/>
        <w:jc w:val="center"/>
        <w:rPr>
          <w:rFonts w:ascii="Courier New" w:hAnsi="Courier New" w:cs="Courier New"/>
          <w:b/>
        </w:rPr>
      </w:pPr>
      <w:r w:rsidRPr="00E21B85">
        <w:rPr>
          <w:rFonts w:ascii="Courier New" w:hAnsi="Courier New" w:cs="Courier New"/>
          <w:b/>
        </w:rPr>
        <w:t>Billing Code 6820-EP</w:t>
      </w:r>
    </w:p>
    <w:p w:rsidR="00CC0EF0" w:rsidRPr="00EE545E" w:rsidRDefault="00CC0EF0" w:rsidP="002B41C0">
      <w:pPr>
        <w:spacing w:line="480" w:lineRule="auto"/>
        <w:rPr>
          <w:rFonts w:ascii="Courier New" w:hAnsi="Courier New" w:cs="Courier New"/>
        </w:rPr>
      </w:pPr>
    </w:p>
    <w:sectPr w:rsidR="00CC0EF0" w:rsidRPr="00EE545E" w:rsidSect="007E40CD">
      <w:headerReference w:type="default" r:id="rId9"/>
      <w:footerReference w:type="default" r:id="rId10"/>
      <w:footerReference w:type="first" r:id="rId11"/>
      <w:pgSz w:w="12240" w:h="15840"/>
      <w:pgMar w:top="1440" w:right="1440" w:bottom="1440" w:left="1440" w:header="720" w:footer="341" w:gutter="0"/>
      <w:pgNumType w:start="1"/>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3E" w:rsidRDefault="00654E3E">
      <w:r>
        <w:separator/>
      </w:r>
    </w:p>
  </w:endnote>
  <w:endnote w:type="continuationSeparator" w:id="0">
    <w:p w:rsidR="00654E3E" w:rsidRDefault="0065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347276"/>
      <w:docPartObj>
        <w:docPartGallery w:val="Page Numbers (Bottom of Page)"/>
        <w:docPartUnique/>
      </w:docPartObj>
    </w:sdtPr>
    <w:sdtEndPr>
      <w:rPr>
        <w:noProof/>
      </w:rPr>
    </w:sdtEndPr>
    <w:sdtContent>
      <w:p w:rsidR="007E40CD" w:rsidRDefault="007E40CD">
        <w:pPr>
          <w:pStyle w:val="Footer"/>
          <w:jc w:val="center"/>
        </w:pPr>
        <w:r>
          <w:fldChar w:fldCharType="begin"/>
        </w:r>
        <w:r>
          <w:instrText xml:space="preserve"> PAGE   \* MERGEFORMAT </w:instrText>
        </w:r>
        <w:r>
          <w:fldChar w:fldCharType="separate"/>
        </w:r>
        <w:r w:rsidR="00F47DC2">
          <w:rPr>
            <w:noProof/>
          </w:rPr>
          <w:t>10</w:t>
        </w:r>
        <w:r>
          <w:rPr>
            <w:noProof/>
          </w:rPr>
          <w:fldChar w:fldCharType="end"/>
        </w:r>
      </w:p>
    </w:sdtContent>
  </w:sdt>
  <w:p w:rsidR="007E40CD" w:rsidRDefault="007E40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F56" w:rsidRDefault="00D67F56">
    <w:pPr>
      <w:pStyle w:val="Footer"/>
      <w:jc w:val="center"/>
    </w:pPr>
  </w:p>
  <w:p w:rsidR="00113E53" w:rsidRPr="00113E53" w:rsidRDefault="00113E53">
    <w:pPr>
      <w:pStyle w:val="Footer"/>
      <w:rPr>
        <w:rFonts w:ascii="Calibri" w:hAnsi="Calibri" w:cs="Calibri"/>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3E" w:rsidRDefault="00654E3E">
      <w:r>
        <w:separator/>
      </w:r>
    </w:p>
  </w:footnote>
  <w:footnote w:type="continuationSeparator" w:id="0">
    <w:p w:rsidR="00654E3E" w:rsidRDefault="00654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98B" w:rsidRDefault="0068698B">
    <w:pPr>
      <w:widowControl w:val="0"/>
      <w:tabs>
        <w:tab w:val="left" w:pos="6480"/>
        <w:tab w:val="left" w:pos="9539"/>
      </w:tabs>
      <w:ind w:left="180" w:right="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4A06"/>
    <w:multiLevelType w:val="hybridMultilevel"/>
    <w:tmpl w:val="0FDE111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237AA"/>
    <w:multiLevelType w:val="hybridMultilevel"/>
    <w:tmpl w:val="5A2CCC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2E4560"/>
    <w:multiLevelType w:val="hybridMultilevel"/>
    <w:tmpl w:val="ADD43384"/>
    <w:lvl w:ilvl="0" w:tplc="FAE6FE3A">
      <w:numFmt w:val="bullet"/>
      <w:lvlText w:val=""/>
      <w:lvlJc w:val="left"/>
      <w:pPr>
        <w:ind w:left="795" w:hanging="435"/>
      </w:pPr>
      <w:rPr>
        <w:rFonts w:ascii="Symbol" w:eastAsia="Times New Roman" w:hAnsi="Symbol" w:cs="Courier New"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E7985"/>
    <w:multiLevelType w:val="hybridMultilevel"/>
    <w:tmpl w:val="554A87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D9"/>
    <w:rsid w:val="00010C2C"/>
    <w:rsid w:val="000301A0"/>
    <w:rsid w:val="00037D72"/>
    <w:rsid w:val="000507B0"/>
    <w:rsid w:val="00052DBE"/>
    <w:rsid w:val="00072021"/>
    <w:rsid w:val="00081A34"/>
    <w:rsid w:val="0008267B"/>
    <w:rsid w:val="000C0BAA"/>
    <w:rsid w:val="000C2AAB"/>
    <w:rsid w:val="00100DCA"/>
    <w:rsid w:val="00106B7C"/>
    <w:rsid w:val="00113E53"/>
    <w:rsid w:val="00121E4B"/>
    <w:rsid w:val="001300E7"/>
    <w:rsid w:val="00137FAF"/>
    <w:rsid w:val="0014799E"/>
    <w:rsid w:val="00180812"/>
    <w:rsid w:val="00187432"/>
    <w:rsid w:val="00191594"/>
    <w:rsid w:val="0019511E"/>
    <w:rsid w:val="001A059F"/>
    <w:rsid w:val="001A3695"/>
    <w:rsid w:val="001A47FC"/>
    <w:rsid w:val="001D63BF"/>
    <w:rsid w:val="001D6EC6"/>
    <w:rsid w:val="001D732D"/>
    <w:rsid w:val="001E0671"/>
    <w:rsid w:val="001E6213"/>
    <w:rsid w:val="001F7BD1"/>
    <w:rsid w:val="00204F23"/>
    <w:rsid w:val="00231D6B"/>
    <w:rsid w:val="002416FC"/>
    <w:rsid w:val="00243D39"/>
    <w:rsid w:val="00253096"/>
    <w:rsid w:val="00261911"/>
    <w:rsid w:val="00273A79"/>
    <w:rsid w:val="00273D44"/>
    <w:rsid w:val="002811FE"/>
    <w:rsid w:val="00281A34"/>
    <w:rsid w:val="002B41C0"/>
    <w:rsid w:val="002D13A9"/>
    <w:rsid w:val="002D5E88"/>
    <w:rsid w:val="003024AE"/>
    <w:rsid w:val="0031190E"/>
    <w:rsid w:val="0032194C"/>
    <w:rsid w:val="00322C7A"/>
    <w:rsid w:val="003447E9"/>
    <w:rsid w:val="0036335B"/>
    <w:rsid w:val="003857D8"/>
    <w:rsid w:val="00392378"/>
    <w:rsid w:val="003A1DB8"/>
    <w:rsid w:val="003D120E"/>
    <w:rsid w:val="003D4FF5"/>
    <w:rsid w:val="003E62B2"/>
    <w:rsid w:val="003F415D"/>
    <w:rsid w:val="003F68C8"/>
    <w:rsid w:val="004171C9"/>
    <w:rsid w:val="00433963"/>
    <w:rsid w:val="004359BF"/>
    <w:rsid w:val="0044098B"/>
    <w:rsid w:val="00451C87"/>
    <w:rsid w:val="0045316A"/>
    <w:rsid w:val="004544B6"/>
    <w:rsid w:val="00484C78"/>
    <w:rsid w:val="00491AF5"/>
    <w:rsid w:val="004A6DB1"/>
    <w:rsid w:val="004C2CE6"/>
    <w:rsid w:val="004D1DD2"/>
    <w:rsid w:val="004D6EA5"/>
    <w:rsid w:val="00504FB0"/>
    <w:rsid w:val="0051640B"/>
    <w:rsid w:val="00521CF2"/>
    <w:rsid w:val="00546790"/>
    <w:rsid w:val="00570AC6"/>
    <w:rsid w:val="005713F6"/>
    <w:rsid w:val="005816B6"/>
    <w:rsid w:val="005869A2"/>
    <w:rsid w:val="005979C9"/>
    <w:rsid w:val="005C0C99"/>
    <w:rsid w:val="006145FC"/>
    <w:rsid w:val="00636882"/>
    <w:rsid w:val="00642F81"/>
    <w:rsid w:val="00654E3E"/>
    <w:rsid w:val="00660C89"/>
    <w:rsid w:val="00673A25"/>
    <w:rsid w:val="0068698B"/>
    <w:rsid w:val="00693079"/>
    <w:rsid w:val="00695E69"/>
    <w:rsid w:val="006972DA"/>
    <w:rsid w:val="006B5D90"/>
    <w:rsid w:val="006E0019"/>
    <w:rsid w:val="006E1447"/>
    <w:rsid w:val="006F6776"/>
    <w:rsid w:val="007050F9"/>
    <w:rsid w:val="00705411"/>
    <w:rsid w:val="00720E93"/>
    <w:rsid w:val="007369EA"/>
    <w:rsid w:val="0074368C"/>
    <w:rsid w:val="007518E3"/>
    <w:rsid w:val="007761D4"/>
    <w:rsid w:val="007916CA"/>
    <w:rsid w:val="007937A2"/>
    <w:rsid w:val="00794901"/>
    <w:rsid w:val="007A235B"/>
    <w:rsid w:val="007A33AE"/>
    <w:rsid w:val="007A4A27"/>
    <w:rsid w:val="007B1E86"/>
    <w:rsid w:val="007B5549"/>
    <w:rsid w:val="007C32F4"/>
    <w:rsid w:val="007D1FA7"/>
    <w:rsid w:val="007E40CD"/>
    <w:rsid w:val="00813165"/>
    <w:rsid w:val="008165AB"/>
    <w:rsid w:val="008218D6"/>
    <w:rsid w:val="008309FA"/>
    <w:rsid w:val="00833B6B"/>
    <w:rsid w:val="0084313C"/>
    <w:rsid w:val="008668CF"/>
    <w:rsid w:val="00876203"/>
    <w:rsid w:val="008766DC"/>
    <w:rsid w:val="008823AC"/>
    <w:rsid w:val="00886C13"/>
    <w:rsid w:val="008A4B96"/>
    <w:rsid w:val="008A60A8"/>
    <w:rsid w:val="008B4A44"/>
    <w:rsid w:val="008D4DC8"/>
    <w:rsid w:val="009171C1"/>
    <w:rsid w:val="009319AE"/>
    <w:rsid w:val="00946BD4"/>
    <w:rsid w:val="009527E6"/>
    <w:rsid w:val="00971546"/>
    <w:rsid w:val="009B2E34"/>
    <w:rsid w:val="009B5F4C"/>
    <w:rsid w:val="009E2C1C"/>
    <w:rsid w:val="009E2FA3"/>
    <w:rsid w:val="00A21C92"/>
    <w:rsid w:val="00A23468"/>
    <w:rsid w:val="00A257A9"/>
    <w:rsid w:val="00A43F46"/>
    <w:rsid w:val="00A45AA5"/>
    <w:rsid w:val="00A517E0"/>
    <w:rsid w:val="00A532AA"/>
    <w:rsid w:val="00A61029"/>
    <w:rsid w:val="00A71478"/>
    <w:rsid w:val="00A87759"/>
    <w:rsid w:val="00A90950"/>
    <w:rsid w:val="00A96861"/>
    <w:rsid w:val="00AA57E8"/>
    <w:rsid w:val="00AC5A90"/>
    <w:rsid w:val="00AD0B31"/>
    <w:rsid w:val="00AD2009"/>
    <w:rsid w:val="00AE0CF0"/>
    <w:rsid w:val="00AE0F1E"/>
    <w:rsid w:val="00AE43EC"/>
    <w:rsid w:val="00B02716"/>
    <w:rsid w:val="00B02AF0"/>
    <w:rsid w:val="00B262FC"/>
    <w:rsid w:val="00B567D0"/>
    <w:rsid w:val="00B57A45"/>
    <w:rsid w:val="00B61A9E"/>
    <w:rsid w:val="00B76E67"/>
    <w:rsid w:val="00BA060E"/>
    <w:rsid w:val="00BA0D82"/>
    <w:rsid w:val="00BA5FBD"/>
    <w:rsid w:val="00BC307A"/>
    <w:rsid w:val="00BC689C"/>
    <w:rsid w:val="00C14E14"/>
    <w:rsid w:val="00C405DB"/>
    <w:rsid w:val="00C42D39"/>
    <w:rsid w:val="00C446B4"/>
    <w:rsid w:val="00C545F4"/>
    <w:rsid w:val="00C549E2"/>
    <w:rsid w:val="00C8758F"/>
    <w:rsid w:val="00C92515"/>
    <w:rsid w:val="00C959CC"/>
    <w:rsid w:val="00CA7BF7"/>
    <w:rsid w:val="00CC0EF0"/>
    <w:rsid w:val="00CD26F8"/>
    <w:rsid w:val="00CE238A"/>
    <w:rsid w:val="00D06C53"/>
    <w:rsid w:val="00D2307E"/>
    <w:rsid w:val="00D27E54"/>
    <w:rsid w:val="00D34B4B"/>
    <w:rsid w:val="00D4509E"/>
    <w:rsid w:val="00D574A3"/>
    <w:rsid w:val="00D67F56"/>
    <w:rsid w:val="00D70796"/>
    <w:rsid w:val="00D75687"/>
    <w:rsid w:val="00D81045"/>
    <w:rsid w:val="00D91E4D"/>
    <w:rsid w:val="00DA42B7"/>
    <w:rsid w:val="00DA50FC"/>
    <w:rsid w:val="00DC6CA7"/>
    <w:rsid w:val="00DE26B8"/>
    <w:rsid w:val="00DE6C23"/>
    <w:rsid w:val="00DF1045"/>
    <w:rsid w:val="00E030E3"/>
    <w:rsid w:val="00E21B85"/>
    <w:rsid w:val="00E32B14"/>
    <w:rsid w:val="00E3522A"/>
    <w:rsid w:val="00E41384"/>
    <w:rsid w:val="00E445C3"/>
    <w:rsid w:val="00E451D9"/>
    <w:rsid w:val="00E5519A"/>
    <w:rsid w:val="00E63E25"/>
    <w:rsid w:val="00E81E13"/>
    <w:rsid w:val="00EA1BE3"/>
    <w:rsid w:val="00EE545E"/>
    <w:rsid w:val="00EF146F"/>
    <w:rsid w:val="00F019B3"/>
    <w:rsid w:val="00F25C48"/>
    <w:rsid w:val="00F26C88"/>
    <w:rsid w:val="00F42DC1"/>
    <w:rsid w:val="00F47DC2"/>
    <w:rsid w:val="00F82F82"/>
    <w:rsid w:val="00F92809"/>
    <w:rsid w:val="00FB37D2"/>
    <w:rsid w:val="00FD433F"/>
    <w:rsid w:val="00FD6C8D"/>
    <w:rsid w:val="00FF78B3"/>
    <w:rsid w:val="00F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D9"/>
    <w:rPr>
      <w:rFonts w:ascii="Times New Roman" w:eastAsia="Times New Roman" w:hAnsi="Times New Roman"/>
      <w:sz w:val="24"/>
      <w:szCs w:val="24"/>
    </w:rPr>
  </w:style>
  <w:style w:type="paragraph" w:styleId="Heading1">
    <w:name w:val="heading 1"/>
    <w:basedOn w:val="Normal"/>
    <w:next w:val="Normal"/>
    <w:link w:val="Heading1Char"/>
    <w:qFormat/>
    <w:rsid w:val="00E451D9"/>
    <w:pPr>
      <w:keepNext/>
      <w:tabs>
        <w:tab w:val="left" w:pos="1440"/>
      </w:tabs>
      <w:jc w:val="center"/>
      <w:outlineLvl w:val="0"/>
    </w:pPr>
    <w:rPr>
      <w:rFonts w:ascii="Courier New" w:hAnsi="Courier New"/>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51D9"/>
    <w:rPr>
      <w:rFonts w:ascii="Courier New" w:eastAsia="Times New Roman" w:hAnsi="Courier New" w:cs="Times New Roman"/>
      <w:b/>
      <w:sz w:val="24"/>
      <w:szCs w:val="24"/>
      <w:lang w:val="x-none" w:eastAsia="x-none"/>
    </w:rPr>
  </w:style>
  <w:style w:type="paragraph" w:styleId="Footer">
    <w:name w:val="footer"/>
    <w:basedOn w:val="Normal"/>
    <w:link w:val="FooterChar"/>
    <w:uiPriority w:val="99"/>
    <w:rsid w:val="00E451D9"/>
    <w:pPr>
      <w:tabs>
        <w:tab w:val="center" w:pos="4320"/>
        <w:tab w:val="right" w:pos="8640"/>
      </w:tabs>
      <w:overflowPunct w:val="0"/>
      <w:autoSpaceDE w:val="0"/>
      <w:autoSpaceDN w:val="0"/>
      <w:adjustRightInd w:val="0"/>
      <w:spacing w:line="240" w:lineRule="atLeast"/>
      <w:textAlignment w:val="baseline"/>
    </w:pPr>
    <w:rPr>
      <w:rFonts w:ascii="Courier" w:hAnsi="Courier"/>
      <w:szCs w:val="20"/>
      <w:lang w:val="x-none" w:eastAsia="x-none"/>
    </w:rPr>
  </w:style>
  <w:style w:type="character" w:customStyle="1" w:styleId="FooterChar">
    <w:name w:val="Footer Char"/>
    <w:link w:val="Footer"/>
    <w:uiPriority w:val="99"/>
    <w:rsid w:val="00E451D9"/>
    <w:rPr>
      <w:rFonts w:ascii="Courier" w:eastAsia="Times New Roman" w:hAnsi="Courier" w:cs="Times New Roman"/>
      <w:sz w:val="24"/>
      <w:szCs w:val="20"/>
      <w:lang w:val="x-none" w:eastAsia="x-none"/>
    </w:rPr>
  </w:style>
  <w:style w:type="paragraph" w:styleId="BodyText2">
    <w:name w:val="Body Text 2"/>
    <w:basedOn w:val="Normal"/>
    <w:link w:val="BodyText2Char"/>
    <w:rsid w:val="00E451D9"/>
    <w:pPr>
      <w:tabs>
        <w:tab w:val="left" w:pos="1440"/>
      </w:tabs>
      <w:overflowPunct w:val="0"/>
      <w:autoSpaceDE w:val="0"/>
      <w:autoSpaceDN w:val="0"/>
      <w:adjustRightInd w:val="0"/>
      <w:spacing w:line="480" w:lineRule="atLeast"/>
      <w:ind w:left="1440" w:hanging="1440"/>
      <w:textAlignment w:val="baseline"/>
    </w:pPr>
    <w:rPr>
      <w:rFonts w:ascii="Courier" w:hAnsi="Courier"/>
      <w:b/>
      <w:sz w:val="20"/>
      <w:szCs w:val="20"/>
      <w:lang w:val="x-none" w:eastAsia="x-none"/>
    </w:rPr>
  </w:style>
  <w:style w:type="character" w:customStyle="1" w:styleId="BodyText2Char">
    <w:name w:val="Body Text 2 Char"/>
    <w:link w:val="BodyText2"/>
    <w:rsid w:val="00E451D9"/>
    <w:rPr>
      <w:rFonts w:ascii="Courier" w:eastAsia="Times New Roman" w:hAnsi="Courier" w:cs="Times New Roman"/>
      <w:b/>
      <w:sz w:val="20"/>
      <w:szCs w:val="20"/>
      <w:lang w:val="x-none" w:eastAsia="x-none"/>
    </w:rPr>
  </w:style>
  <w:style w:type="paragraph" w:styleId="Header">
    <w:name w:val="header"/>
    <w:basedOn w:val="Normal"/>
    <w:link w:val="HeaderChar"/>
    <w:uiPriority w:val="99"/>
    <w:unhideWhenUsed/>
    <w:rsid w:val="00E451D9"/>
    <w:pPr>
      <w:tabs>
        <w:tab w:val="center" w:pos="4680"/>
        <w:tab w:val="right" w:pos="9360"/>
      </w:tabs>
    </w:pPr>
  </w:style>
  <w:style w:type="character" w:customStyle="1" w:styleId="HeaderChar">
    <w:name w:val="Header Char"/>
    <w:link w:val="Header"/>
    <w:uiPriority w:val="99"/>
    <w:rsid w:val="00E451D9"/>
    <w:rPr>
      <w:rFonts w:ascii="Times New Roman" w:eastAsia="Times New Roman" w:hAnsi="Times New Roman" w:cs="Times New Roman"/>
      <w:sz w:val="24"/>
      <w:szCs w:val="24"/>
    </w:rPr>
  </w:style>
  <w:style w:type="character" w:styleId="LineNumber">
    <w:name w:val="line number"/>
    <w:uiPriority w:val="99"/>
    <w:semiHidden/>
    <w:unhideWhenUsed/>
    <w:rsid w:val="00E451D9"/>
  </w:style>
  <w:style w:type="paragraph" w:customStyle="1" w:styleId="Default">
    <w:name w:val="Default"/>
    <w:rsid w:val="00DA42B7"/>
    <w:pPr>
      <w:autoSpaceDE w:val="0"/>
      <w:autoSpaceDN w:val="0"/>
      <w:adjustRightInd w:val="0"/>
    </w:pPr>
    <w:rPr>
      <w:rFonts w:ascii="Courier New" w:hAnsi="Courier New" w:cs="Courier New"/>
      <w:color w:val="000000"/>
      <w:sz w:val="24"/>
      <w:szCs w:val="24"/>
    </w:rPr>
  </w:style>
  <w:style w:type="paragraph" w:styleId="ListParagraph">
    <w:name w:val="List Paragraph"/>
    <w:basedOn w:val="Normal"/>
    <w:uiPriority w:val="34"/>
    <w:qFormat/>
    <w:rsid w:val="002811FE"/>
    <w:pPr>
      <w:ind w:left="720"/>
      <w:contextualSpacing/>
    </w:pPr>
  </w:style>
  <w:style w:type="paragraph" w:styleId="BalloonText">
    <w:name w:val="Balloon Text"/>
    <w:basedOn w:val="Normal"/>
    <w:link w:val="BalloonTextChar"/>
    <w:uiPriority w:val="99"/>
    <w:semiHidden/>
    <w:unhideWhenUsed/>
    <w:rsid w:val="00D70796"/>
    <w:rPr>
      <w:sz w:val="18"/>
      <w:szCs w:val="18"/>
    </w:rPr>
  </w:style>
  <w:style w:type="character" w:customStyle="1" w:styleId="BalloonTextChar">
    <w:name w:val="Balloon Text Char"/>
    <w:link w:val="BalloonText"/>
    <w:uiPriority w:val="99"/>
    <w:semiHidden/>
    <w:rsid w:val="00D70796"/>
    <w:rPr>
      <w:rFonts w:ascii="Times New Roman" w:eastAsia="Times New Roman" w:hAnsi="Times New Roman"/>
      <w:sz w:val="18"/>
      <w:szCs w:val="18"/>
    </w:rPr>
  </w:style>
  <w:style w:type="character" w:styleId="CommentReference">
    <w:name w:val="annotation reference"/>
    <w:uiPriority w:val="99"/>
    <w:semiHidden/>
    <w:unhideWhenUsed/>
    <w:rsid w:val="007D1FA7"/>
    <w:rPr>
      <w:sz w:val="16"/>
      <w:szCs w:val="16"/>
    </w:rPr>
  </w:style>
  <w:style w:type="paragraph" w:styleId="CommentText">
    <w:name w:val="annotation text"/>
    <w:basedOn w:val="Normal"/>
    <w:link w:val="CommentTextChar"/>
    <w:uiPriority w:val="99"/>
    <w:semiHidden/>
    <w:unhideWhenUsed/>
    <w:rsid w:val="007D1FA7"/>
    <w:rPr>
      <w:sz w:val="20"/>
      <w:szCs w:val="20"/>
    </w:rPr>
  </w:style>
  <w:style w:type="character" w:customStyle="1" w:styleId="CommentTextChar">
    <w:name w:val="Comment Text Char"/>
    <w:link w:val="CommentText"/>
    <w:uiPriority w:val="99"/>
    <w:semiHidden/>
    <w:rsid w:val="007D1FA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D1FA7"/>
    <w:rPr>
      <w:b/>
      <w:bCs/>
    </w:rPr>
  </w:style>
  <w:style w:type="character" w:customStyle="1" w:styleId="CommentSubjectChar">
    <w:name w:val="Comment Subject Char"/>
    <w:link w:val="CommentSubject"/>
    <w:uiPriority w:val="99"/>
    <w:semiHidden/>
    <w:rsid w:val="007D1FA7"/>
    <w:rPr>
      <w:rFonts w:ascii="Times New Roman" w:eastAsia="Times New Roman" w:hAnsi="Times New Roman"/>
      <w:b/>
      <w:bCs/>
    </w:rPr>
  </w:style>
  <w:style w:type="paragraph" w:styleId="PlainText">
    <w:name w:val="Plain Text"/>
    <w:basedOn w:val="Normal"/>
    <w:link w:val="PlainTextChar"/>
    <w:uiPriority w:val="99"/>
    <w:semiHidden/>
    <w:unhideWhenUsed/>
    <w:rsid w:val="008218D6"/>
    <w:rPr>
      <w:rFonts w:ascii="Courier New" w:hAnsi="Courier New" w:cs="Courier New"/>
      <w:sz w:val="20"/>
      <w:szCs w:val="20"/>
    </w:rPr>
  </w:style>
  <w:style w:type="character" w:customStyle="1" w:styleId="PlainTextChar">
    <w:name w:val="Plain Text Char"/>
    <w:link w:val="PlainText"/>
    <w:uiPriority w:val="99"/>
    <w:semiHidden/>
    <w:rsid w:val="008218D6"/>
    <w:rPr>
      <w:rFonts w:ascii="Courier New" w:eastAsia="Times New Roman" w:hAnsi="Courier New" w:cs="Courier New"/>
    </w:rPr>
  </w:style>
  <w:style w:type="paragraph" w:styleId="FootnoteText">
    <w:name w:val="footnote text"/>
    <w:basedOn w:val="Normal"/>
    <w:link w:val="FootnoteTextChar"/>
    <w:uiPriority w:val="99"/>
    <w:semiHidden/>
    <w:unhideWhenUsed/>
    <w:rsid w:val="00DE26B8"/>
    <w:rPr>
      <w:sz w:val="20"/>
      <w:szCs w:val="20"/>
    </w:rPr>
  </w:style>
  <w:style w:type="character" w:customStyle="1" w:styleId="FootnoteTextChar">
    <w:name w:val="Footnote Text Char"/>
    <w:link w:val="FootnoteText"/>
    <w:uiPriority w:val="99"/>
    <w:semiHidden/>
    <w:rsid w:val="00DE26B8"/>
    <w:rPr>
      <w:rFonts w:ascii="Times New Roman" w:eastAsia="Times New Roman" w:hAnsi="Times New Roman"/>
    </w:rPr>
  </w:style>
  <w:style w:type="character" w:styleId="FootnoteReference">
    <w:name w:val="footnote reference"/>
    <w:uiPriority w:val="99"/>
    <w:semiHidden/>
    <w:unhideWhenUsed/>
    <w:rsid w:val="00DE26B8"/>
    <w:rPr>
      <w:vertAlign w:val="superscript"/>
    </w:rPr>
  </w:style>
  <w:style w:type="character" w:styleId="Hyperlink">
    <w:name w:val="Hyperlink"/>
    <w:basedOn w:val="DefaultParagraphFont"/>
    <w:uiPriority w:val="99"/>
    <w:unhideWhenUsed/>
    <w:rsid w:val="007A33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D9"/>
    <w:rPr>
      <w:rFonts w:ascii="Times New Roman" w:eastAsia="Times New Roman" w:hAnsi="Times New Roman"/>
      <w:sz w:val="24"/>
      <w:szCs w:val="24"/>
    </w:rPr>
  </w:style>
  <w:style w:type="paragraph" w:styleId="Heading1">
    <w:name w:val="heading 1"/>
    <w:basedOn w:val="Normal"/>
    <w:next w:val="Normal"/>
    <w:link w:val="Heading1Char"/>
    <w:qFormat/>
    <w:rsid w:val="00E451D9"/>
    <w:pPr>
      <w:keepNext/>
      <w:tabs>
        <w:tab w:val="left" w:pos="1440"/>
      </w:tabs>
      <w:jc w:val="center"/>
      <w:outlineLvl w:val="0"/>
    </w:pPr>
    <w:rPr>
      <w:rFonts w:ascii="Courier New" w:hAnsi="Courier New"/>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51D9"/>
    <w:rPr>
      <w:rFonts w:ascii="Courier New" w:eastAsia="Times New Roman" w:hAnsi="Courier New" w:cs="Times New Roman"/>
      <w:b/>
      <w:sz w:val="24"/>
      <w:szCs w:val="24"/>
      <w:lang w:val="x-none" w:eastAsia="x-none"/>
    </w:rPr>
  </w:style>
  <w:style w:type="paragraph" w:styleId="Footer">
    <w:name w:val="footer"/>
    <w:basedOn w:val="Normal"/>
    <w:link w:val="FooterChar"/>
    <w:uiPriority w:val="99"/>
    <w:rsid w:val="00E451D9"/>
    <w:pPr>
      <w:tabs>
        <w:tab w:val="center" w:pos="4320"/>
        <w:tab w:val="right" w:pos="8640"/>
      </w:tabs>
      <w:overflowPunct w:val="0"/>
      <w:autoSpaceDE w:val="0"/>
      <w:autoSpaceDN w:val="0"/>
      <w:adjustRightInd w:val="0"/>
      <w:spacing w:line="240" w:lineRule="atLeast"/>
      <w:textAlignment w:val="baseline"/>
    </w:pPr>
    <w:rPr>
      <w:rFonts w:ascii="Courier" w:hAnsi="Courier"/>
      <w:szCs w:val="20"/>
      <w:lang w:val="x-none" w:eastAsia="x-none"/>
    </w:rPr>
  </w:style>
  <w:style w:type="character" w:customStyle="1" w:styleId="FooterChar">
    <w:name w:val="Footer Char"/>
    <w:link w:val="Footer"/>
    <w:uiPriority w:val="99"/>
    <w:rsid w:val="00E451D9"/>
    <w:rPr>
      <w:rFonts w:ascii="Courier" w:eastAsia="Times New Roman" w:hAnsi="Courier" w:cs="Times New Roman"/>
      <w:sz w:val="24"/>
      <w:szCs w:val="20"/>
      <w:lang w:val="x-none" w:eastAsia="x-none"/>
    </w:rPr>
  </w:style>
  <w:style w:type="paragraph" w:styleId="BodyText2">
    <w:name w:val="Body Text 2"/>
    <w:basedOn w:val="Normal"/>
    <w:link w:val="BodyText2Char"/>
    <w:rsid w:val="00E451D9"/>
    <w:pPr>
      <w:tabs>
        <w:tab w:val="left" w:pos="1440"/>
      </w:tabs>
      <w:overflowPunct w:val="0"/>
      <w:autoSpaceDE w:val="0"/>
      <w:autoSpaceDN w:val="0"/>
      <w:adjustRightInd w:val="0"/>
      <w:spacing w:line="480" w:lineRule="atLeast"/>
      <w:ind w:left="1440" w:hanging="1440"/>
      <w:textAlignment w:val="baseline"/>
    </w:pPr>
    <w:rPr>
      <w:rFonts w:ascii="Courier" w:hAnsi="Courier"/>
      <w:b/>
      <w:sz w:val="20"/>
      <w:szCs w:val="20"/>
      <w:lang w:val="x-none" w:eastAsia="x-none"/>
    </w:rPr>
  </w:style>
  <w:style w:type="character" w:customStyle="1" w:styleId="BodyText2Char">
    <w:name w:val="Body Text 2 Char"/>
    <w:link w:val="BodyText2"/>
    <w:rsid w:val="00E451D9"/>
    <w:rPr>
      <w:rFonts w:ascii="Courier" w:eastAsia="Times New Roman" w:hAnsi="Courier" w:cs="Times New Roman"/>
      <w:b/>
      <w:sz w:val="20"/>
      <w:szCs w:val="20"/>
      <w:lang w:val="x-none" w:eastAsia="x-none"/>
    </w:rPr>
  </w:style>
  <w:style w:type="paragraph" w:styleId="Header">
    <w:name w:val="header"/>
    <w:basedOn w:val="Normal"/>
    <w:link w:val="HeaderChar"/>
    <w:uiPriority w:val="99"/>
    <w:unhideWhenUsed/>
    <w:rsid w:val="00E451D9"/>
    <w:pPr>
      <w:tabs>
        <w:tab w:val="center" w:pos="4680"/>
        <w:tab w:val="right" w:pos="9360"/>
      </w:tabs>
    </w:pPr>
  </w:style>
  <w:style w:type="character" w:customStyle="1" w:styleId="HeaderChar">
    <w:name w:val="Header Char"/>
    <w:link w:val="Header"/>
    <w:uiPriority w:val="99"/>
    <w:rsid w:val="00E451D9"/>
    <w:rPr>
      <w:rFonts w:ascii="Times New Roman" w:eastAsia="Times New Roman" w:hAnsi="Times New Roman" w:cs="Times New Roman"/>
      <w:sz w:val="24"/>
      <w:szCs w:val="24"/>
    </w:rPr>
  </w:style>
  <w:style w:type="character" w:styleId="LineNumber">
    <w:name w:val="line number"/>
    <w:uiPriority w:val="99"/>
    <w:semiHidden/>
    <w:unhideWhenUsed/>
    <w:rsid w:val="00E451D9"/>
  </w:style>
  <w:style w:type="paragraph" w:customStyle="1" w:styleId="Default">
    <w:name w:val="Default"/>
    <w:rsid w:val="00DA42B7"/>
    <w:pPr>
      <w:autoSpaceDE w:val="0"/>
      <w:autoSpaceDN w:val="0"/>
      <w:adjustRightInd w:val="0"/>
    </w:pPr>
    <w:rPr>
      <w:rFonts w:ascii="Courier New" w:hAnsi="Courier New" w:cs="Courier New"/>
      <w:color w:val="000000"/>
      <w:sz w:val="24"/>
      <w:szCs w:val="24"/>
    </w:rPr>
  </w:style>
  <w:style w:type="paragraph" w:styleId="ListParagraph">
    <w:name w:val="List Paragraph"/>
    <w:basedOn w:val="Normal"/>
    <w:uiPriority w:val="34"/>
    <w:qFormat/>
    <w:rsid w:val="002811FE"/>
    <w:pPr>
      <w:ind w:left="720"/>
      <w:contextualSpacing/>
    </w:pPr>
  </w:style>
  <w:style w:type="paragraph" w:styleId="BalloonText">
    <w:name w:val="Balloon Text"/>
    <w:basedOn w:val="Normal"/>
    <w:link w:val="BalloonTextChar"/>
    <w:uiPriority w:val="99"/>
    <w:semiHidden/>
    <w:unhideWhenUsed/>
    <w:rsid w:val="00D70796"/>
    <w:rPr>
      <w:sz w:val="18"/>
      <w:szCs w:val="18"/>
    </w:rPr>
  </w:style>
  <w:style w:type="character" w:customStyle="1" w:styleId="BalloonTextChar">
    <w:name w:val="Balloon Text Char"/>
    <w:link w:val="BalloonText"/>
    <w:uiPriority w:val="99"/>
    <w:semiHidden/>
    <w:rsid w:val="00D70796"/>
    <w:rPr>
      <w:rFonts w:ascii="Times New Roman" w:eastAsia="Times New Roman" w:hAnsi="Times New Roman"/>
      <w:sz w:val="18"/>
      <w:szCs w:val="18"/>
    </w:rPr>
  </w:style>
  <w:style w:type="character" w:styleId="CommentReference">
    <w:name w:val="annotation reference"/>
    <w:uiPriority w:val="99"/>
    <w:semiHidden/>
    <w:unhideWhenUsed/>
    <w:rsid w:val="007D1FA7"/>
    <w:rPr>
      <w:sz w:val="16"/>
      <w:szCs w:val="16"/>
    </w:rPr>
  </w:style>
  <w:style w:type="paragraph" w:styleId="CommentText">
    <w:name w:val="annotation text"/>
    <w:basedOn w:val="Normal"/>
    <w:link w:val="CommentTextChar"/>
    <w:uiPriority w:val="99"/>
    <w:semiHidden/>
    <w:unhideWhenUsed/>
    <w:rsid w:val="007D1FA7"/>
    <w:rPr>
      <w:sz w:val="20"/>
      <w:szCs w:val="20"/>
    </w:rPr>
  </w:style>
  <w:style w:type="character" w:customStyle="1" w:styleId="CommentTextChar">
    <w:name w:val="Comment Text Char"/>
    <w:link w:val="CommentText"/>
    <w:uiPriority w:val="99"/>
    <w:semiHidden/>
    <w:rsid w:val="007D1FA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D1FA7"/>
    <w:rPr>
      <w:b/>
      <w:bCs/>
    </w:rPr>
  </w:style>
  <w:style w:type="character" w:customStyle="1" w:styleId="CommentSubjectChar">
    <w:name w:val="Comment Subject Char"/>
    <w:link w:val="CommentSubject"/>
    <w:uiPriority w:val="99"/>
    <w:semiHidden/>
    <w:rsid w:val="007D1FA7"/>
    <w:rPr>
      <w:rFonts w:ascii="Times New Roman" w:eastAsia="Times New Roman" w:hAnsi="Times New Roman"/>
      <w:b/>
      <w:bCs/>
    </w:rPr>
  </w:style>
  <w:style w:type="paragraph" w:styleId="PlainText">
    <w:name w:val="Plain Text"/>
    <w:basedOn w:val="Normal"/>
    <w:link w:val="PlainTextChar"/>
    <w:uiPriority w:val="99"/>
    <w:semiHidden/>
    <w:unhideWhenUsed/>
    <w:rsid w:val="008218D6"/>
    <w:rPr>
      <w:rFonts w:ascii="Courier New" w:hAnsi="Courier New" w:cs="Courier New"/>
      <w:sz w:val="20"/>
      <w:szCs w:val="20"/>
    </w:rPr>
  </w:style>
  <w:style w:type="character" w:customStyle="1" w:styleId="PlainTextChar">
    <w:name w:val="Plain Text Char"/>
    <w:link w:val="PlainText"/>
    <w:uiPriority w:val="99"/>
    <w:semiHidden/>
    <w:rsid w:val="008218D6"/>
    <w:rPr>
      <w:rFonts w:ascii="Courier New" w:eastAsia="Times New Roman" w:hAnsi="Courier New" w:cs="Courier New"/>
    </w:rPr>
  </w:style>
  <w:style w:type="paragraph" w:styleId="FootnoteText">
    <w:name w:val="footnote text"/>
    <w:basedOn w:val="Normal"/>
    <w:link w:val="FootnoteTextChar"/>
    <w:uiPriority w:val="99"/>
    <w:semiHidden/>
    <w:unhideWhenUsed/>
    <w:rsid w:val="00DE26B8"/>
    <w:rPr>
      <w:sz w:val="20"/>
      <w:szCs w:val="20"/>
    </w:rPr>
  </w:style>
  <w:style w:type="character" w:customStyle="1" w:styleId="FootnoteTextChar">
    <w:name w:val="Footnote Text Char"/>
    <w:link w:val="FootnoteText"/>
    <w:uiPriority w:val="99"/>
    <w:semiHidden/>
    <w:rsid w:val="00DE26B8"/>
    <w:rPr>
      <w:rFonts w:ascii="Times New Roman" w:eastAsia="Times New Roman" w:hAnsi="Times New Roman"/>
    </w:rPr>
  </w:style>
  <w:style w:type="character" w:styleId="FootnoteReference">
    <w:name w:val="footnote reference"/>
    <w:uiPriority w:val="99"/>
    <w:semiHidden/>
    <w:unhideWhenUsed/>
    <w:rsid w:val="00DE26B8"/>
    <w:rPr>
      <w:vertAlign w:val="superscript"/>
    </w:rPr>
  </w:style>
  <w:style w:type="character" w:styleId="Hyperlink">
    <w:name w:val="Hyperlink"/>
    <w:basedOn w:val="DefaultParagraphFont"/>
    <w:uiPriority w:val="99"/>
    <w:unhideWhenUsed/>
    <w:rsid w:val="007A33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6478">
      <w:bodyDiv w:val="1"/>
      <w:marLeft w:val="0"/>
      <w:marRight w:val="0"/>
      <w:marTop w:val="0"/>
      <w:marBottom w:val="0"/>
      <w:divBdr>
        <w:top w:val="none" w:sz="0" w:space="0" w:color="auto"/>
        <w:left w:val="none" w:sz="0" w:space="0" w:color="auto"/>
        <w:bottom w:val="none" w:sz="0" w:space="0" w:color="auto"/>
        <w:right w:val="none" w:sz="0" w:space="0" w:color="auto"/>
      </w:divBdr>
    </w:div>
    <w:div w:id="19550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3C2D6-1F3A-4B81-864F-731EC47C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2019-06-25T14:25:00Z</dcterms:created>
  <dcterms:modified xsi:type="dcterms:W3CDTF">2019-08-16T12:06:00Z</dcterms:modified>
</cp:coreProperties>
</file>