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490B8A" w:rsidRDefault="0037420F">
      <w:pPr>
        <w:pBdr>
          <w:top w:val="nil"/>
          <w:left w:val="nil"/>
          <w:bottom w:val="nil"/>
          <w:right w:val="nil"/>
          <w:between w:val="nil"/>
        </w:pBdr>
        <w:rPr>
          <w:rFonts w:ascii="Arial" w:eastAsia="Arial" w:hAnsi="Arial" w:cs="Arial"/>
        </w:rPr>
      </w:pPr>
      <w:r>
        <w:rPr>
          <w:rFonts w:ascii="Arial" w:eastAsia="Arial" w:hAnsi="Arial" w:cs="Arial"/>
        </w:rPr>
        <w:t>General Services Administration</w:t>
      </w:r>
    </w:p>
    <w:p w14:paraId="00000002" w14:textId="77777777" w:rsidR="00490B8A" w:rsidRDefault="0037420F">
      <w:pPr>
        <w:pBdr>
          <w:top w:val="nil"/>
          <w:left w:val="nil"/>
          <w:bottom w:val="nil"/>
          <w:right w:val="nil"/>
          <w:between w:val="nil"/>
        </w:pBdr>
        <w:rPr>
          <w:rFonts w:ascii="Arial" w:eastAsia="Arial" w:hAnsi="Arial" w:cs="Arial"/>
        </w:rPr>
      </w:pPr>
      <w:r>
        <w:rPr>
          <w:rFonts w:ascii="Arial" w:eastAsia="Arial" w:hAnsi="Arial" w:cs="Arial"/>
        </w:rPr>
        <w:t>Washington, DC 20405</w:t>
      </w:r>
    </w:p>
    <w:p w14:paraId="00000003" w14:textId="38FCDAF0" w:rsidR="00490B8A" w:rsidRPr="00A319EB" w:rsidRDefault="0037420F">
      <w:pPr>
        <w:pBdr>
          <w:top w:val="nil"/>
          <w:left w:val="nil"/>
          <w:bottom w:val="nil"/>
          <w:right w:val="nil"/>
          <w:between w:val="nil"/>
        </w:pBdr>
        <w:jc w:val="right"/>
        <w:rPr>
          <w:rFonts w:ascii="Arial" w:eastAsia="Arial" w:hAnsi="Arial" w:cs="Arial"/>
        </w:rPr>
      </w:pPr>
      <w:r>
        <w:rPr>
          <w:rFonts w:ascii="Arial" w:eastAsia="Arial" w:hAnsi="Arial" w:cs="Arial"/>
        </w:rPr>
        <w:t>ADM 2800.12B, Change 12</w:t>
      </w:r>
      <w:r w:rsidR="00743A89">
        <w:rPr>
          <w:rFonts w:ascii="Arial" w:eastAsia="Arial" w:hAnsi="Arial" w:cs="Arial"/>
        </w:rPr>
        <w:t>4</w:t>
      </w:r>
    </w:p>
    <w:p w14:paraId="00000004" w14:textId="6FD06EE0" w:rsidR="00490B8A" w:rsidRPr="00A319EB" w:rsidRDefault="00E9159B">
      <w:pPr>
        <w:jc w:val="right"/>
        <w:rPr>
          <w:rFonts w:ascii="Arial" w:eastAsia="Arial" w:hAnsi="Arial" w:cs="Arial"/>
        </w:rPr>
      </w:pPr>
      <w:r>
        <w:rPr>
          <w:rFonts w:ascii="Arial" w:eastAsia="Arial" w:hAnsi="Arial" w:cs="Arial"/>
        </w:rPr>
        <w:t>April</w:t>
      </w:r>
      <w:r w:rsidR="0037420F">
        <w:rPr>
          <w:rFonts w:ascii="Arial" w:eastAsia="Arial" w:hAnsi="Arial" w:cs="Arial"/>
        </w:rPr>
        <w:t xml:space="preserve"> </w:t>
      </w:r>
      <w:r>
        <w:rPr>
          <w:rFonts w:ascii="Arial" w:eastAsia="Arial" w:hAnsi="Arial" w:cs="Arial"/>
        </w:rPr>
        <w:t>8</w:t>
      </w:r>
      <w:r w:rsidR="0037420F">
        <w:rPr>
          <w:rFonts w:ascii="Arial" w:eastAsia="Arial" w:hAnsi="Arial" w:cs="Arial"/>
        </w:rPr>
        <w:t>, 2021</w:t>
      </w:r>
    </w:p>
    <w:p w14:paraId="00000005" w14:textId="77777777" w:rsidR="00490B8A" w:rsidRDefault="00490B8A">
      <w:pPr>
        <w:pBdr>
          <w:top w:val="nil"/>
          <w:left w:val="nil"/>
          <w:bottom w:val="nil"/>
          <w:right w:val="nil"/>
          <w:between w:val="nil"/>
        </w:pBdr>
        <w:jc w:val="right"/>
        <w:rPr>
          <w:rFonts w:ascii="Arial" w:eastAsia="Arial" w:hAnsi="Arial" w:cs="Arial"/>
        </w:rPr>
      </w:pPr>
    </w:p>
    <w:p w14:paraId="00000006" w14:textId="77777777" w:rsidR="00490B8A" w:rsidRDefault="0037420F">
      <w:pPr>
        <w:pBdr>
          <w:top w:val="nil"/>
          <w:left w:val="nil"/>
          <w:bottom w:val="nil"/>
          <w:right w:val="nil"/>
          <w:between w:val="nil"/>
        </w:pBdr>
        <w:jc w:val="center"/>
        <w:rPr>
          <w:rFonts w:ascii="Arial" w:eastAsia="Arial" w:hAnsi="Arial" w:cs="Arial"/>
          <w:b/>
        </w:rPr>
      </w:pPr>
      <w:r>
        <w:rPr>
          <w:rFonts w:ascii="Arial" w:eastAsia="Arial" w:hAnsi="Arial" w:cs="Arial"/>
          <w:b/>
        </w:rPr>
        <w:t>GSA ORDER</w:t>
      </w:r>
    </w:p>
    <w:p w14:paraId="00000007" w14:textId="77777777" w:rsidR="00490B8A" w:rsidRDefault="00490B8A">
      <w:pPr>
        <w:pBdr>
          <w:top w:val="nil"/>
          <w:left w:val="nil"/>
          <w:bottom w:val="nil"/>
          <w:right w:val="nil"/>
          <w:between w:val="nil"/>
        </w:pBdr>
        <w:jc w:val="center"/>
        <w:rPr>
          <w:rFonts w:ascii="Arial" w:eastAsia="Arial" w:hAnsi="Arial" w:cs="Arial"/>
        </w:rPr>
      </w:pPr>
    </w:p>
    <w:p w14:paraId="00000008" w14:textId="41D0FA0A" w:rsidR="00490B8A" w:rsidRDefault="0037420F" w:rsidP="00A319EB">
      <w:pPr>
        <w:pBdr>
          <w:top w:val="nil"/>
          <w:left w:val="nil"/>
          <w:bottom w:val="nil"/>
          <w:right w:val="nil"/>
          <w:between w:val="nil"/>
        </w:pBdr>
        <w:ind w:left="990" w:hanging="990"/>
        <w:rPr>
          <w:rFonts w:ascii="Arial" w:eastAsia="Arial" w:hAnsi="Arial" w:cs="Arial"/>
        </w:rPr>
      </w:pPr>
      <w:r>
        <w:rPr>
          <w:rFonts w:ascii="Arial" w:eastAsia="Arial" w:hAnsi="Arial" w:cs="Arial"/>
        </w:rPr>
        <w:t xml:space="preserve">Subject:  </w:t>
      </w:r>
      <w:r w:rsidR="00E9159B" w:rsidRPr="00E9159B">
        <w:rPr>
          <w:rFonts w:ascii="Arial" w:eastAsia="Arial" w:hAnsi="Arial" w:cs="Arial"/>
        </w:rPr>
        <w:t>General Services Administration Acquisition Manual; GSAM Case 2021-G507, Unsolicited Proposal Review Process</w:t>
      </w:r>
    </w:p>
    <w:p w14:paraId="00000009" w14:textId="77777777" w:rsidR="00490B8A" w:rsidRDefault="00490B8A">
      <w:pPr>
        <w:pBdr>
          <w:top w:val="nil"/>
          <w:left w:val="nil"/>
          <w:bottom w:val="nil"/>
          <w:right w:val="nil"/>
          <w:between w:val="nil"/>
        </w:pBdr>
        <w:rPr>
          <w:rFonts w:ascii="Arial" w:eastAsia="Arial" w:hAnsi="Arial" w:cs="Arial"/>
        </w:rPr>
      </w:pPr>
    </w:p>
    <w:p w14:paraId="0000000A" w14:textId="0288496F" w:rsidR="00490B8A" w:rsidRDefault="0037420F">
      <w:pPr>
        <w:numPr>
          <w:ilvl w:val="0"/>
          <w:numId w:val="1"/>
        </w:numPr>
        <w:pBdr>
          <w:top w:val="nil"/>
          <w:left w:val="nil"/>
          <w:bottom w:val="nil"/>
          <w:right w:val="nil"/>
          <w:between w:val="nil"/>
        </w:pBdr>
        <w:rPr>
          <w:rFonts w:ascii="Arial" w:eastAsia="Arial" w:hAnsi="Arial" w:cs="Arial"/>
        </w:rPr>
      </w:pPr>
      <w:r>
        <w:rPr>
          <w:rFonts w:ascii="Arial" w:eastAsia="Arial" w:hAnsi="Arial" w:cs="Arial"/>
          <w:u w:val="single"/>
        </w:rPr>
        <w:t>Purpose</w:t>
      </w:r>
      <w:r>
        <w:rPr>
          <w:rFonts w:ascii="Arial" w:eastAsia="Arial" w:hAnsi="Arial" w:cs="Arial"/>
        </w:rPr>
        <w:t xml:space="preserve">. </w:t>
      </w:r>
      <w:r w:rsidR="00E9159B">
        <w:rPr>
          <w:rFonts w:ascii="Arial" w:eastAsia="Arial" w:hAnsi="Arial" w:cs="Arial"/>
        </w:rPr>
        <w:t xml:space="preserve"> </w:t>
      </w:r>
      <w:r w:rsidR="00E9159B" w:rsidRPr="00E9159B">
        <w:rPr>
          <w:rFonts w:ascii="Arial" w:eastAsia="Arial" w:hAnsi="Arial" w:cs="Arial"/>
        </w:rPr>
        <w:t>This order transmits a revision to the General Services Administration Acquisition Manual (GSAM).</w:t>
      </w:r>
    </w:p>
    <w:p w14:paraId="0000000B" w14:textId="77777777" w:rsidR="00490B8A" w:rsidRDefault="00490B8A">
      <w:pPr>
        <w:pBdr>
          <w:top w:val="nil"/>
          <w:left w:val="nil"/>
          <w:bottom w:val="nil"/>
          <w:right w:val="nil"/>
          <w:between w:val="nil"/>
        </w:pBdr>
        <w:rPr>
          <w:rFonts w:ascii="Arial" w:eastAsia="Arial" w:hAnsi="Arial" w:cs="Arial"/>
        </w:rPr>
      </w:pPr>
    </w:p>
    <w:p w14:paraId="0000000C" w14:textId="2314BB03" w:rsidR="00490B8A" w:rsidRDefault="0037420F">
      <w:pPr>
        <w:numPr>
          <w:ilvl w:val="0"/>
          <w:numId w:val="1"/>
        </w:numPr>
        <w:pBdr>
          <w:top w:val="nil"/>
          <w:left w:val="nil"/>
          <w:bottom w:val="nil"/>
          <w:right w:val="nil"/>
          <w:between w:val="nil"/>
        </w:pBdr>
        <w:rPr>
          <w:rFonts w:ascii="Arial" w:eastAsia="Arial" w:hAnsi="Arial" w:cs="Arial"/>
        </w:rPr>
      </w:pPr>
      <w:r>
        <w:rPr>
          <w:rFonts w:ascii="Arial" w:eastAsia="Arial" w:hAnsi="Arial" w:cs="Arial"/>
          <w:u w:val="single"/>
        </w:rPr>
        <w:t>Background</w:t>
      </w:r>
      <w:r>
        <w:rPr>
          <w:rFonts w:ascii="Arial" w:eastAsia="Arial" w:hAnsi="Arial" w:cs="Arial"/>
        </w:rPr>
        <w:t xml:space="preserve">. </w:t>
      </w:r>
      <w:r w:rsidR="00E9159B">
        <w:rPr>
          <w:rFonts w:ascii="Arial" w:eastAsia="Arial" w:hAnsi="Arial" w:cs="Arial"/>
        </w:rPr>
        <w:t xml:space="preserve"> </w:t>
      </w:r>
      <w:r w:rsidR="00E9159B" w:rsidRPr="00E9159B">
        <w:rPr>
          <w:rFonts w:ascii="Arial" w:eastAsia="Arial" w:hAnsi="Arial" w:cs="Arial"/>
        </w:rPr>
        <w:t>FAR subpart 15.6 provides guidance on the submission, receipt, evaluation, and acceptance or rejection of unsolicited proposals.</w:t>
      </w:r>
      <w:r w:rsidR="00E9159B">
        <w:rPr>
          <w:rFonts w:ascii="Arial" w:eastAsia="Arial" w:hAnsi="Arial" w:cs="Arial"/>
        </w:rPr>
        <w:t xml:space="preserve"> </w:t>
      </w:r>
      <w:r w:rsidR="00E9159B" w:rsidRPr="00E9159B">
        <w:rPr>
          <w:rFonts w:ascii="Arial" w:eastAsia="Arial" w:hAnsi="Arial" w:cs="Arial"/>
        </w:rPr>
        <w:t xml:space="preserve"> It also directs agencies to establish procedures to receive and respond to unsolicited proposals. </w:t>
      </w:r>
      <w:r w:rsidR="00E9159B">
        <w:rPr>
          <w:rFonts w:ascii="Arial" w:eastAsia="Arial" w:hAnsi="Arial" w:cs="Arial"/>
        </w:rPr>
        <w:t xml:space="preserve"> </w:t>
      </w:r>
      <w:r w:rsidR="00E9159B" w:rsidRPr="00E9159B">
        <w:rPr>
          <w:rFonts w:ascii="Arial" w:eastAsia="Arial" w:hAnsi="Arial" w:cs="Arial"/>
        </w:rPr>
        <w:t xml:space="preserve">Currently, GSAM 515.6 provides GSA’s guidance on this topic. </w:t>
      </w:r>
      <w:r w:rsidR="00E9159B">
        <w:rPr>
          <w:rFonts w:ascii="Arial" w:eastAsia="Arial" w:hAnsi="Arial" w:cs="Arial"/>
        </w:rPr>
        <w:t xml:space="preserve"> </w:t>
      </w:r>
      <w:r w:rsidR="00E9159B" w:rsidRPr="00E9159B">
        <w:rPr>
          <w:rFonts w:ascii="Arial" w:eastAsia="Arial" w:hAnsi="Arial" w:cs="Arial"/>
        </w:rPr>
        <w:t>The purpose of this policy change is to clarify which entities may review and respond to unsolicited proposals.</w:t>
      </w:r>
    </w:p>
    <w:p w14:paraId="0000000D" w14:textId="77777777" w:rsidR="00490B8A" w:rsidRDefault="00490B8A">
      <w:pPr>
        <w:pBdr>
          <w:top w:val="nil"/>
          <w:left w:val="nil"/>
          <w:bottom w:val="nil"/>
          <w:right w:val="nil"/>
          <w:between w:val="nil"/>
        </w:pBdr>
        <w:rPr>
          <w:rFonts w:ascii="Arial" w:eastAsia="Arial" w:hAnsi="Arial" w:cs="Arial"/>
        </w:rPr>
      </w:pPr>
    </w:p>
    <w:p w14:paraId="0000000E" w14:textId="0A963AFB" w:rsidR="00490B8A" w:rsidRDefault="0037420F">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u w:val="single"/>
        </w:rPr>
        <w:t>Effective date</w:t>
      </w:r>
      <w:r>
        <w:rPr>
          <w:rFonts w:ascii="Arial" w:eastAsia="Arial" w:hAnsi="Arial" w:cs="Arial"/>
          <w:color w:val="000000"/>
        </w:rPr>
        <w:t xml:space="preserve">. </w:t>
      </w:r>
      <w:r w:rsidR="00E9159B">
        <w:rPr>
          <w:rFonts w:ascii="Arial" w:eastAsia="Arial" w:hAnsi="Arial" w:cs="Arial"/>
          <w:color w:val="000000"/>
        </w:rPr>
        <w:t xml:space="preserve"> </w:t>
      </w:r>
      <w:r w:rsidR="00E9159B">
        <w:rPr>
          <w:rFonts w:ascii="Arial" w:eastAsia="Arial" w:hAnsi="Arial" w:cs="Arial"/>
        </w:rPr>
        <w:t>April</w:t>
      </w:r>
      <w:r>
        <w:rPr>
          <w:rFonts w:ascii="Arial" w:eastAsia="Arial" w:hAnsi="Arial" w:cs="Arial"/>
        </w:rPr>
        <w:t xml:space="preserve"> </w:t>
      </w:r>
      <w:r w:rsidR="00E9159B">
        <w:rPr>
          <w:rFonts w:ascii="Arial" w:eastAsia="Arial" w:hAnsi="Arial" w:cs="Arial"/>
        </w:rPr>
        <w:t>8</w:t>
      </w:r>
      <w:r>
        <w:rPr>
          <w:rFonts w:ascii="Arial" w:eastAsia="Arial" w:hAnsi="Arial" w:cs="Arial"/>
        </w:rPr>
        <w:t>, 2021.</w:t>
      </w:r>
    </w:p>
    <w:p w14:paraId="0000000F" w14:textId="77777777" w:rsidR="00490B8A" w:rsidRDefault="00490B8A">
      <w:pPr>
        <w:pBdr>
          <w:top w:val="nil"/>
          <w:left w:val="nil"/>
          <w:bottom w:val="nil"/>
          <w:right w:val="nil"/>
          <w:between w:val="nil"/>
        </w:pBdr>
        <w:rPr>
          <w:rFonts w:ascii="Arial" w:eastAsia="Arial" w:hAnsi="Arial" w:cs="Arial"/>
        </w:rPr>
      </w:pPr>
    </w:p>
    <w:p w14:paraId="00000010" w14:textId="4061705F" w:rsidR="00490B8A" w:rsidRDefault="0037420F">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u w:val="single"/>
        </w:rPr>
        <w:t>Explanation of changes</w:t>
      </w:r>
      <w:r>
        <w:rPr>
          <w:rFonts w:ascii="Arial" w:eastAsia="Arial" w:hAnsi="Arial" w:cs="Arial"/>
          <w:color w:val="000000"/>
        </w:rPr>
        <w:t xml:space="preserve">. </w:t>
      </w:r>
      <w:r w:rsidR="00E9159B">
        <w:rPr>
          <w:rFonts w:ascii="Arial" w:eastAsia="Arial" w:hAnsi="Arial" w:cs="Arial"/>
          <w:color w:val="000000"/>
        </w:rPr>
        <w:t xml:space="preserve"> </w:t>
      </w:r>
      <w:r w:rsidR="00E9159B" w:rsidRPr="00E9159B">
        <w:rPr>
          <w:rFonts w:ascii="Arial" w:eastAsia="Arial" w:hAnsi="Arial" w:cs="Arial"/>
        </w:rPr>
        <w:t xml:space="preserve">This amendment includes only non-regulatory changes to the GSAM. </w:t>
      </w:r>
      <w:r w:rsidR="00E9159B">
        <w:rPr>
          <w:rFonts w:ascii="Arial" w:eastAsia="Arial" w:hAnsi="Arial" w:cs="Arial"/>
        </w:rPr>
        <w:t xml:space="preserve"> </w:t>
      </w:r>
      <w:r w:rsidR="00E9159B" w:rsidRPr="00E9159B">
        <w:rPr>
          <w:rFonts w:ascii="Arial" w:eastAsia="Arial" w:hAnsi="Arial" w:cs="Arial"/>
        </w:rPr>
        <w:t>For full text changes of the amendment see Attachment A, GSAM Text Line-In/Line-Out.</w:t>
      </w:r>
    </w:p>
    <w:p w14:paraId="00000011" w14:textId="77777777" w:rsidR="00490B8A" w:rsidRDefault="00490B8A">
      <w:pPr>
        <w:ind w:left="360"/>
        <w:rPr>
          <w:rFonts w:ascii="Arial" w:eastAsia="Arial" w:hAnsi="Arial" w:cs="Arial"/>
        </w:rPr>
      </w:pPr>
    </w:p>
    <w:p w14:paraId="00000012" w14:textId="24A778B9" w:rsidR="00490B8A" w:rsidRDefault="00FF1D21">
      <w:pPr>
        <w:ind w:left="360"/>
        <w:rPr>
          <w:rFonts w:ascii="Arial" w:eastAsia="Arial" w:hAnsi="Arial" w:cs="Arial"/>
        </w:rPr>
      </w:pPr>
      <w:r w:rsidRPr="00FF1D21">
        <w:rPr>
          <w:rFonts w:ascii="Arial" w:eastAsia="Arial" w:hAnsi="Arial" w:cs="Arial"/>
        </w:rPr>
        <w:t>This amendment revises the language of the GSAM, as summarized below:</w:t>
      </w:r>
    </w:p>
    <w:p w14:paraId="00000013" w14:textId="77777777" w:rsidR="00490B8A" w:rsidRDefault="00490B8A">
      <w:pPr>
        <w:ind w:left="360"/>
        <w:rPr>
          <w:rFonts w:ascii="Arial" w:eastAsia="Arial" w:hAnsi="Arial" w:cs="Arial"/>
        </w:rPr>
      </w:pPr>
    </w:p>
    <w:p w14:paraId="335E4E74" w14:textId="4D3BAAC6" w:rsidR="00FF1D21" w:rsidRDefault="00FF1D21" w:rsidP="00FF1D21">
      <w:pPr>
        <w:ind w:left="360"/>
        <w:rPr>
          <w:rFonts w:ascii="Arial" w:eastAsia="Arial" w:hAnsi="Arial" w:cs="Arial"/>
        </w:rPr>
      </w:pPr>
      <w:r>
        <w:rPr>
          <w:rFonts w:ascii="Arial" w:eastAsia="Arial" w:hAnsi="Arial" w:cs="Arial"/>
        </w:rPr>
        <w:t>GSAM 515.6 (Contracting by Negotiation—Unsolicited Proposals):</w:t>
      </w:r>
    </w:p>
    <w:p w14:paraId="0513430D" w14:textId="77777777" w:rsidR="00FF1D21" w:rsidRDefault="00FF1D21" w:rsidP="00FF1D21">
      <w:pPr>
        <w:ind w:left="360"/>
        <w:rPr>
          <w:rFonts w:ascii="Arial" w:eastAsia="Arial" w:hAnsi="Arial" w:cs="Arial"/>
        </w:rPr>
      </w:pPr>
    </w:p>
    <w:p w14:paraId="43F47C7A" w14:textId="4F000A63" w:rsidR="00FF1D21" w:rsidRDefault="00FF1D21" w:rsidP="00FF1D21">
      <w:pPr>
        <w:numPr>
          <w:ilvl w:val="0"/>
          <w:numId w:val="2"/>
        </w:numPr>
        <w:rPr>
          <w:rFonts w:ascii="Arial" w:eastAsia="Arial" w:hAnsi="Arial" w:cs="Arial"/>
        </w:rPr>
      </w:pPr>
      <w:r>
        <w:rPr>
          <w:rFonts w:ascii="Arial" w:eastAsia="Arial" w:hAnsi="Arial" w:cs="Arial"/>
        </w:rPr>
        <w:t>515.601 - Removing section on definitions because we address these in the new language.</w:t>
      </w:r>
    </w:p>
    <w:p w14:paraId="4F9B4870" w14:textId="77777777" w:rsidR="00FF1D21" w:rsidRDefault="00FF1D21" w:rsidP="00FF1D21">
      <w:pPr>
        <w:ind w:left="1440"/>
        <w:rPr>
          <w:rFonts w:ascii="Arial" w:eastAsia="Arial" w:hAnsi="Arial" w:cs="Arial"/>
        </w:rPr>
      </w:pPr>
    </w:p>
    <w:p w14:paraId="155820FA" w14:textId="1336CDAD" w:rsidR="00FF1D21" w:rsidRDefault="00FF1D21" w:rsidP="00FF1D21">
      <w:pPr>
        <w:numPr>
          <w:ilvl w:val="0"/>
          <w:numId w:val="2"/>
        </w:numPr>
        <w:rPr>
          <w:rFonts w:ascii="Arial" w:eastAsia="Arial" w:hAnsi="Arial" w:cs="Arial"/>
        </w:rPr>
      </w:pPr>
      <w:r>
        <w:rPr>
          <w:rFonts w:ascii="Arial" w:eastAsia="Arial" w:hAnsi="Arial" w:cs="Arial"/>
        </w:rPr>
        <w:t>515.604 – Adding this section to clarify where offerors should submit unsolicited proposals and in what situations the Office of Acquisition Policy (OAP) may respond to unsolicited proposals.</w:t>
      </w:r>
    </w:p>
    <w:p w14:paraId="387D2949" w14:textId="77777777" w:rsidR="00FF1D21" w:rsidRDefault="00FF1D21" w:rsidP="00FF1D21">
      <w:pPr>
        <w:ind w:left="1440"/>
        <w:rPr>
          <w:rFonts w:ascii="Arial" w:eastAsia="Arial" w:hAnsi="Arial" w:cs="Arial"/>
        </w:rPr>
      </w:pPr>
    </w:p>
    <w:p w14:paraId="70F5C353" w14:textId="34A59B47" w:rsidR="00FF1D21" w:rsidRDefault="00FF1D21" w:rsidP="00FF1D21">
      <w:pPr>
        <w:numPr>
          <w:ilvl w:val="0"/>
          <w:numId w:val="2"/>
        </w:numPr>
        <w:rPr>
          <w:rFonts w:ascii="Arial" w:eastAsia="Arial" w:hAnsi="Arial" w:cs="Arial"/>
        </w:rPr>
      </w:pPr>
      <w:r>
        <w:rPr>
          <w:rFonts w:ascii="Arial" w:eastAsia="Arial" w:hAnsi="Arial" w:cs="Arial"/>
        </w:rPr>
        <w:t>515.606 - Removing the introductory language instructing coordinating offices to determine points of contact and establish procedures for handling unsolicited proposals.</w:t>
      </w:r>
    </w:p>
    <w:p w14:paraId="5042D0C1" w14:textId="77777777" w:rsidR="00FF1D21" w:rsidRDefault="00FF1D21" w:rsidP="00FF1D21">
      <w:pPr>
        <w:ind w:left="1440"/>
        <w:rPr>
          <w:rFonts w:ascii="Arial" w:eastAsia="Arial" w:hAnsi="Arial" w:cs="Arial"/>
        </w:rPr>
      </w:pPr>
    </w:p>
    <w:p w14:paraId="1F534350" w14:textId="77777777" w:rsidR="00FF1D21" w:rsidRDefault="00FF1D21" w:rsidP="00FF1D21">
      <w:pPr>
        <w:numPr>
          <w:ilvl w:val="0"/>
          <w:numId w:val="2"/>
        </w:numPr>
        <w:rPr>
          <w:rFonts w:ascii="Arial" w:eastAsia="Arial" w:hAnsi="Arial" w:cs="Arial"/>
        </w:rPr>
      </w:pPr>
      <w:r>
        <w:rPr>
          <w:rFonts w:ascii="Arial" w:eastAsia="Arial" w:hAnsi="Arial" w:cs="Arial"/>
        </w:rPr>
        <w:t>515.606-1 - Adding subsection to direct the HCA or OAP to handle the initial review of proposals in accordance with the FAR and recommending that the HCA should consult with OAP in cases where an unsolicited proposal has been submitted before.</w:t>
      </w:r>
    </w:p>
    <w:p w14:paraId="00000016" w14:textId="584A06CA" w:rsidR="00490B8A" w:rsidRPr="00FF1D21" w:rsidRDefault="00FF1D21" w:rsidP="00FF1D21">
      <w:pPr>
        <w:pStyle w:val="ListParagraph"/>
        <w:numPr>
          <w:ilvl w:val="0"/>
          <w:numId w:val="2"/>
        </w:numPr>
        <w:tabs>
          <w:tab w:val="left" w:pos="900"/>
        </w:tabs>
        <w:rPr>
          <w:rFonts w:ascii="Arial" w:eastAsia="Arial" w:hAnsi="Arial" w:cs="Arial"/>
        </w:rPr>
      </w:pPr>
      <w:r w:rsidRPr="00FF1D21">
        <w:rPr>
          <w:rFonts w:ascii="Arial" w:eastAsia="Arial" w:hAnsi="Arial" w:cs="Arial"/>
        </w:rPr>
        <w:lastRenderedPageBreak/>
        <w:t>515.606-2 – Revising this section in its entirety to include language instructing the HCA or OAP to evaluate proposals in accordance with the FAR. Includes revised timeframes for review.</w:t>
      </w:r>
    </w:p>
    <w:p w14:paraId="00000017" w14:textId="77777777" w:rsidR="00490B8A" w:rsidRDefault="00490B8A">
      <w:pPr>
        <w:ind w:left="1440"/>
        <w:rPr>
          <w:rFonts w:ascii="Arial" w:eastAsia="Arial" w:hAnsi="Arial" w:cs="Arial"/>
        </w:rPr>
      </w:pPr>
    </w:p>
    <w:p w14:paraId="00000018" w14:textId="0A4F45AD" w:rsidR="00490B8A" w:rsidRDefault="0037420F">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u w:val="single"/>
        </w:rPr>
        <w:t>Cancellation</w:t>
      </w:r>
      <w:r>
        <w:rPr>
          <w:rFonts w:ascii="Arial" w:eastAsia="Arial" w:hAnsi="Arial" w:cs="Arial"/>
          <w:color w:val="000000"/>
        </w:rPr>
        <w:t xml:space="preserve">. </w:t>
      </w:r>
      <w:r w:rsidR="00FC12EB">
        <w:rPr>
          <w:rFonts w:ascii="Arial" w:eastAsia="Arial" w:hAnsi="Arial" w:cs="Arial"/>
          <w:color w:val="000000"/>
        </w:rPr>
        <w:t xml:space="preserve"> None</w:t>
      </w:r>
      <w:r>
        <w:rPr>
          <w:rFonts w:ascii="Arial" w:eastAsia="Arial" w:hAnsi="Arial" w:cs="Arial"/>
        </w:rPr>
        <w:t>.</w:t>
      </w:r>
    </w:p>
    <w:p w14:paraId="00000019" w14:textId="77777777" w:rsidR="00490B8A" w:rsidRDefault="00490B8A">
      <w:pPr>
        <w:pBdr>
          <w:top w:val="nil"/>
          <w:left w:val="nil"/>
          <w:bottom w:val="nil"/>
          <w:right w:val="nil"/>
          <w:between w:val="nil"/>
        </w:pBdr>
        <w:rPr>
          <w:rFonts w:ascii="Arial" w:eastAsia="Arial" w:hAnsi="Arial" w:cs="Arial"/>
        </w:rPr>
      </w:pPr>
    </w:p>
    <w:p w14:paraId="0000001A" w14:textId="6ABB5073" w:rsidR="00490B8A" w:rsidRDefault="0037420F">
      <w:pPr>
        <w:numPr>
          <w:ilvl w:val="0"/>
          <w:numId w:val="1"/>
        </w:numPr>
        <w:rPr>
          <w:rFonts w:ascii="Arial" w:eastAsia="Arial" w:hAnsi="Arial" w:cs="Arial"/>
        </w:rPr>
      </w:pPr>
      <w:r>
        <w:rPr>
          <w:rFonts w:ascii="Arial" w:eastAsia="Arial" w:hAnsi="Arial" w:cs="Arial"/>
          <w:u w:val="single"/>
        </w:rPr>
        <w:t>Point of contact</w:t>
      </w:r>
      <w:r>
        <w:rPr>
          <w:rFonts w:ascii="Arial" w:eastAsia="Arial" w:hAnsi="Arial" w:cs="Arial"/>
        </w:rPr>
        <w:t xml:space="preserve">. </w:t>
      </w:r>
      <w:r w:rsidR="00FC12EB">
        <w:rPr>
          <w:rFonts w:ascii="Arial" w:eastAsia="Arial" w:hAnsi="Arial" w:cs="Arial"/>
        </w:rPr>
        <w:t xml:space="preserve"> </w:t>
      </w:r>
      <w:r w:rsidR="00FC12EB" w:rsidRPr="00FC12EB">
        <w:rPr>
          <w:rFonts w:ascii="Arial" w:eastAsia="Arial" w:hAnsi="Arial" w:cs="Arial"/>
        </w:rPr>
        <w:t>For clarification of content, contact Saroja Koneru or Vernita Misidor, GSA Acquisition Policy Division,</w:t>
      </w:r>
      <w:r>
        <w:rPr>
          <w:rFonts w:ascii="Arial" w:eastAsia="Arial" w:hAnsi="Arial" w:cs="Arial"/>
        </w:rPr>
        <w:t xml:space="preserve"> at </w:t>
      </w:r>
      <w:hyperlink r:id="rId7">
        <w:r>
          <w:rPr>
            <w:rFonts w:ascii="Arial" w:eastAsia="Arial" w:hAnsi="Arial" w:cs="Arial"/>
            <w:color w:val="1155CC"/>
            <w:u w:val="single"/>
          </w:rPr>
          <w:t>gsarpolicy@gsa.gov</w:t>
        </w:r>
      </w:hyperlink>
      <w:r>
        <w:rPr>
          <w:rFonts w:ascii="Arial" w:eastAsia="Arial" w:hAnsi="Arial" w:cs="Arial"/>
        </w:rPr>
        <w:t>.</w:t>
      </w:r>
    </w:p>
    <w:p w14:paraId="0000001B" w14:textId="77777777" w:rsidR="00490B8A" w:rsidRDefault="00490B8A">
      <w:pPr>
        <w:pBdr>
          <w:top w:val="nil"/>
          <w:left w:val="nil"/>
          <w:bottom w:val="nil"/>
          <w:right w:val="nil"/>
          <w:between w:val="nil"/>
        </w:pBdr>
        <w:rPr>
          <w:rFonts w:ascii="Arial" w:eastAsia="Arial" w:hAnsi="Arial" w:cs="Arial"/>
        </w:rPr>
      </w:pPr>
    </w:p>
    <w:p w14:paraId="0000001C" w14:textId="77777777" w:rsidR="00490B8A" w:rsidRDefault="00490B8A">
      <w:pPr>
        <w:pBdr>
          <w:top w:val="nil"/>
          <w:left w:val="nil"/>
          <w:bottom w:val="nil"/>
          <w:right w:val="nil"/>
          <w:between w:val="nil"/>
        </w:pBdr>
        <w:rPr>
          <w:rFonts w:ascii="Arial" w:eastAsia="Arial" w:hAnsi="Arial" w:cs="Arial"/>
        </w:rPr>
      </w:pPr>
    </w:p>
    <w:p w14:paraId="0000001D" w14:textId="77777777" w:rsidR="00490B8A" w:rsidRDefault="00490B8A">
      <w:pPr>
        <w:pBdr>
          <w:top w:val="nil"/>
          <w:left w:val="nil"/>
          <w:bottom w:val="nil"/>
          <w:right w:val="nil"/>
          <w:between w:val="nil"/>
        </w:pBdr>
        <w:rPr>
          <w:rFonts w:ascii="Arial" w:eastAsia="Arial" w:hAnsi="Arial" w:cs="Arial"/>
        </w:rPr>
      </w:pPr>
    </w:p>
    <w:p w14:paraId="0000001E" w14:textId="77777777" w:rsidR="00490B8A" w:rsidRDefault="00490B8A">
      <w:pPr>
        <w:pBdr>
          <w:top w:val="nil"/>
          <w:left w:val="nil"/>
          <w:bottom w:val="nil"/>
          <w:right w:val="nil"/>
          <w:between w:val="nil"/>
        </w:pBdr>
        <w:rPr>
          <w:rFonts w:ascii="Arial" w:eastAsia="Arial" w:hAnsi="Arial" w:cs="Arial"/>
        </w:rPr>
      </w:pPr>
    </w:p>
    <w:p w14:paraId="0000001F" w14:textId="77777777" w:rsidR="00490B8A" w:rsidRDefault="0037420F">
      <w:pPr>
        <w:pBdr>
          <w:top w:val="nil"/>
          <w:left w:val="nil"/>
          <w:bottom w:val="nil"/>
          <w:right w:val="nil"/>
          <w:between w:val="nil"/>
        </w:pBdr>
        <w:rPr>
          <w:rFonts w:ascii="Arial" w:eastAsia="Arial" w:hAnsi="Arial" w:cs="Arial"/>
        </w:rPr>
      </w:pPr>
      <w:r>
        <w:rPr>
          <w:rFonts w:ascii="Arial" w:eastAsia="Arial" w:hAnsi="Arial" w:cs="Arial"/>
        </w:rPr>
        <w:t>Jeffrey Koses</w:t>
      </w:r>
    </w:p>
    <w:p w14:paraId="00000020" w14:textId="77777777" w:rsidR="00490B8A" w:rsidRDefault="0037420F">
      <w:pPr>
        <w:pBdr>
          <w:top w:val="nil"/>
          <w:left w:val="nil"/>
          <w:bottom w:val="nil"/>
          <w:right w:val="nil"/>
          <w:between w:val="nil"/>
        </w:pBdr>
        <w:rPr>
          <w:rFonts w:ascii="Arial" w:eastAsia="Arial" w:hAnsi="Arial" w:cs="Arial"/>
        </w:rPr>
      </w:pPr>
      <w:r>
        <w:rPr>
          <w:rFonts w:ascii="Arial" w:eastAsia="Arial" w:hAnsi="Arial" w:cs="Arial"/>
          <w:color w:val="000000"/>
        </w:rPr>
        <w:t>Senior Procurement Executive</w:t>
      </w:r>
    </w:p>
    <w:p w14:paraId="00000021" w14:textId="77777777" w:rsidR="00490B8A" w:rsidRDefault="0037420F">
      <w:pPr>
        <w:pBdr>
          <w:top w:val="nil"/>
          <w:left w:val="nil"/>
          <w:bottom w:val="nil"/>
          <w:right w:val="nil"/>
          <w:between w:val="nil"/>
        </w:pBdr>
        <w:rPr>
          <w:rFonts w:ascii="Arial" w:eastAsia="Arial" w:hAnsi="Arial" w:cs="Arial"/>
        </w:rPr>
      </w:pPr>
      <w:r>
        <w:rPr>
          <w:rFonts w:ascii="Arial" w:eastAsia="Arial" w:hAnsi="Arial" w:cs="Arial"/>
        </w:rPr>
        <w:t>Office of Acquisition Policy</w:t>
      </w:r>
    </w:p>
    <w:p w14:paraId="00000022" w14:textId="47251F38" w:rsidR="00490B8A" w:rsidRDefault="0037420F">
      <w:pPr>
        <w:pBdr>
          <w:top w:val="nil"/>
          <w:left w:val="nil"/>
          <w:bottom w:val="nil"/>
          <w:right w:val="nil"/>
          <w:between w:val="nil"/>
        </w:pBdr>
        <w:rPr>
          <w:rFonts w:ascii="Arial" w:eastAsia="Arial" w:hAnsi="Arial" w:cs="Arial"/>
        </w:rPr>
      </w:pPr>
      <w:r>
        <w:rPr>
          <w:rFonts w:ascii="Arial" w:eastAsia="Arial" w:hAnsi="Arial" w:cs="Arial"/>
        </w:rPr>
        <w:t>Office of Government-wide Policy</w:t>
      </w:r>
    </w:p>
    <w:p w14:paraId="762B9496" w14:textId="00F03841" w:rsidR="003712F5" w:rsidRDefault="003712F5">
      <w:pPr>
        <w:rPr>
          <w:rFonts w:ascii="Arial" w:eastAsia="Arial" w:hAnsi="Arial" w:cs="Arial"/>
        </w:rPr>
      </w:pPr>
      <w:r>
        <w:rPr>
          <w:rFonts w:ascii="Arial" w:eastAsia="Arial" w:hAnsi="Arial" w:cs="Arial"/>
        </w:rPr>
        <w:br w:type="page"/>
      </w:r>
    </w:p>
    <w:p w14:paraId="46D3DE5C" w14:textId="77777777" w:rsidR="003712F5" w:rsidRDefault="003712F5" w:rsidP="003712F5">
      <w:pPr>
        <w:jc w:val="center"/>
        <w:rPr>
          <w:rFonts w:ascii="Arial" w:eastAsia="Arial" w:hAnsi="Arial" w:cs="Arial"/>
          <w:b/>
        </w:rPr>
      </w:pPr>
      <w:r>
        <w:rPr>
          <w:rFonts w:ascii="Arial" w:eastAsia="Arial" w:hAnsi="Arial" w:cs="Arial"/>
          <w:b/>
        </w:rPr>
        <w:lastRenderedPageBreak/>
        <w:t>GSAM Text, Line-In/Line-Out</w:t>
      </w:r>
    </w:p>
    <w:p w14:paraId="4906503B" w14:textId="77777777" w:rsidR="003712F5" w:rsidRDefault="003712F5" w:rsidP="003712F5">
      <w:pPr>
        <w:rPr>
          <w:rFonts w:ascii="Arial" w:eastAsia="Arial" w:hAnsi="Arial" w:cs="Arial"/>
          <w:b/>
        </w:rPr>
      </w:pPr>
    </w:p>
    <w:p w14:paraId="1240B4FD" w14:textId="72A985CB" w:rsidR="003712F5" w:rsidRDefault="003712F5" w:rsidP="003712F5">
      <w:pPr>
        <w:rPr>
          <w:rFonts w:ascii="Arial" w:eastAsia="Arial" w:hAnsi="Arial" w:cs="Arial"/>
          <w:b/>
        </w:rPr>
      </w:pPr>
      <w:r>
        <w:rPr>
          <w:rFonts w:ascii="Arial" w:eastAsia="Arial" w:hAnsi="Arial" w:cs="Arial"/>
          <w:b/>
        </w:rPr>
        <w:t>GSA</w:t>
      </w:r>
      <w:r w:rsidR="00762557">
        <w:rPr>
          <w:rFonts w:ascii="Arial" w:eastAsia="Arial" w:hAnsi="Arial" w:cs="Arial"/>
          <w:b/>
        </w:rPr>
        <w:t>M</w:t>
      </w:r>
      <w:r>
        <w:rPr>
          <w:rFonts w:ascii="Arial" w:eastAsia="Arial" w:hAnsi="Arial" w:cs="Arial"/>
          <w:b/>
        </w:rPr>
        <w:t xml:space="preserve"> Baseline: Change 12</w:t>
      </w:r>
      <w:r w:rsidR="00762557">
        <w:rPr>
          <w:rFonts w:ascii="Arial" w:eastAsia="Arial" w:hAnsi="Arial" w:cs="Arial"/>
          <w:b/>
        </w:rPr>
        <w:t>3</w:t>
      </w:r>
      <w:r>
        <w:rPr>
          <w:rFonts w:ascii="Arial" w:eastAsia="Arial" w:hAnsi="Arial" w:cs="Arial"/>
          <w:b/>
        </w:rPr>
        <w:t xml:space="preserve"> effective </w:t>
      </w:r>
      <w:r w:rsidR="00762557">
        <w:rPr>
          <w:rFonts w:ascii="Arial" w:eastAsia="Arial" w:hAnsi="Arial" w:cs="Arial"/>
          <w:b/>
        </w:rPr>
        <w:t>3</w:t>
      </w:r>
      <w:r>
        <w:rPr>
          <w:rFonts w:ascii="Arial" w:eastAsia="Arial" w:hAnsi="Arial" w:cs="Arial"/>
          <w:b/>
        </w:rPr>
        <w:t>/</w:t>
      </w:r>
      <w:r w:rsidR="00BF599D">
        <w:rPr>
          <w:rFonts w:ascii="Arial" w:eastAsia="Arial" w:hAnsi="Arial" w:cs="Arial"/>
          <w:b/>
        </w:rPr>
        <w:t>1</w:t>
      </w:r>
      <w:r w:rsidR="00762557">
        <w:rPr>
          <w:rFonts w:ascii="Arial" w:eastAsia="Arial" w:hAnsi="Arial" w:cs="Arial"/>
          <w:b/>
        </w:rPr>
        <w:t>5</w:t>
      </w:r>
      <w:r>
        <w:rPr>
          <w:rFonts w:ascii="Arial" w:eastAsia="Arial" w:hAnsi="Arial" w:cs="Arial"/>
          <w:b/>
        </w:rPr>
        <w:t>/202</w:t>
      </w:r>
      <w:r w:rsidR="00BF599D">
        <w:rPr>
          <w:rFonts w:ascii="Arial" w:eastAsia="Arial" w:hAnsi="Arial" w:cs="Arial"/>
          <w:b/>
        </w:rPr>
        <w:t>1</w:t>
      </w:r>
    </w:p>
    <w:p w14:paraId="576C014F" w14:textId="77777777" w:rsidR="003712F5" w:rsidRDefault="003712F5" w:rsidP="003712F5">
      <w:pPr>
        <w:rPr>
          <w:rFonts w:ascii="Arial" w:eastAsia="Arial" w:hAnsi="Arial" w:cs="Arial"/>
          <w:b/>
        </w:rPr>
      </w:pPr>
      <w:r>
        <w:rPr>
          <w:rFonts w:ascii="Arial" w:eastAsia="Arial" w:hAnsi="Arial" w:cs="Arial"/>
        </w:rPr>
        <w:t xml:space="preserve">• Additions to baseline made by rule are indicated by </w:t>
      </w:r>
      <w:r>
        <w:rPr>
          <w:rFonts w:ascii="Arial" w:eastAsia="Arial" w:hAnsi="Arial" w:cs="Arial"/>
          <w:b/>
        </w:rPr>
        <w:t>[bold text in brackets]</w:t>
      </w:r>
    </w:p>
    <w:p w14:paraId="657B24C4" w14:textId="77777777" w:rsidR="003712F5" w:rsidRDefault="003712F5" w:rsidP="003712F5">
      <w:pPr>
        <w:rPr>
          <w:rFonts w:ascii="Arial" w:eastAsia="Arial" w:hAnsi="Arial" w:cs="Arial"/>
          <w:strike/>
        </w:rPr>
      </w:pPr>
      <w:r>
        <w:rPr>
          <w:rFonts w:ascii="Arial" w:eastAsia="Arial" w:hAnsi="Arial" w:cs="Arial"/>
        </w:rPr>
        <w:t xml:space="preserve">• Deletions to baseline made by rule are indicated by </w:t>
      </w:r>
      <w:r>
        <w:rPr>
          <w:rFonts w:ascii="Arial" w:eastAsia="Arial" w:hAnsi="Arial" w:cs="Arial"/>
          <w:strike/>
        </w:rPr>
        <w:t>strikethroughs</w:t>
      </w:r>
    </w:p>
    <w:p w14:paraId="403E50B7" w14:textId="77777777" w:rsidR="003712F5" w:rsidRDefault="003712F5" w:rsidP="003712F5">
      <w:pPr>
        <w:rPr>
          <w:rFonts w:ascii="Arial" w:eastAsia="Arial" w:hAnsi="Arial" w:cs="Arial"/>
        </w:rPr>
      </w:pPr>
      <w:r>
        <w:rPr>
          <w:rFonts w:ascii="Arial" w:eastAsia="Arial" w:hAnsi="Arial" w:cs="Arial"/>
        </w:rPr>
        <w:t>• Five asterisks (* * * * *) indicate that there are no revisions between the preceding and following sections</w:t>
      </w:r>
    </w:p>
    <w:p w14:paraId="31AB4A55" w14:textId="77777777" w:rsidR="003712F5" w:rsidRDefault="003712F5" w:rsidP="003712F5">
      <w:pPr>
        <w:rPr>
          <w:rFonts w:ascii="Arial" w:eastAsia="Arial" w:hAnsi="Arial" w:cs="Arial"/>
        </w:rPr>
      </w:pPr>
      <w:r>
        <w:rPr>
          <w:rFonts w:ascii="Arial" w:eastAsia="Arial" w:hAnsi="Arial" w:cs="Arial"/>
        </w:rPr>
        <w:t>• Three asterisks (* * *) indicate that there are no revisions between the material shown within a subsection</w:t>
      </w:r>
    </w:p>
    <w:p w14:paraId="134F6E28" w14:textId="77777777" w:rsidR="003712F5" w:rsidRDefault="003712F5" w:rsidP="003712F5">
      <w:pPr>
        <w:pBdr>
          <w:top w:val="nil"/>
          <w:left w:val="nil"/>
          <w:bottom w:val="nil"/>
          <w:right w:val="nil"/>
          <w:between w:val="nil"/>
        </w:pBdr>
        <w:rPr>
          <w:rFonts w:ascii="Arial" w:eastAsia="Arial" w:hAnsi="Arial" w:cs="Arial"/>
        </w:rPr>
      </w:pPr>
    </w:p>
    <w:p w14:paraId="7FC620F2" w14:textId="77777777" w:rsidR="004047A3" w:rsidRPr="004047A3" w:rsidRDefault="004047A3" w:rsidP="004047A3">
      <w:pPr>
        <w:pBdr>
          <w:top w:val="nil"/>
          <w:left w:val="nil"/>
          <w:bottom w:val="nil"/>
          <w:right w:val="nil"/>
          <w:between w:val="nil"/>
        </w:pBdr>
        <w:jc w:val="center"/>
        <w:rPr>
          <w:rFonts w:ascii="Arial" w:eastAsia="Arial" w:hAnsi="Arial" w:cs="Arial"/>
        </w:rPr>
      </w:pPr>
      <w:bookmarkStart w:id="0" w:name="_gjdgxs" w:colFirst="0" w:colLast="0"/>
      <w:bookmarkEnd w:id="0"/>
      <w:r w:rsidRPr="004047A3">
        <w:rPr>
          <w:rFonts w:ascii="Arial" w:eastAsia="Arial" w:hAnsi="Arial" w:cs="Arial"/>
        </w:rPr>
        <w:t>Part 515—Contracting by Negotiation</w:t>
      </w:r>
    </w:p>
    <w:p w14:paraId="6EEAE28B" w14:textId="77777777" w:rsidR="004047A3" w:rsidRPr="004047A3" w:rsidRDefault="004047A3" w:rsidP="004047A3">
      <w:pPr>
        <w:pBdr>
          <w:top w:val="nil"/>
          <w:left w:val="nil"/>
          <w:bottom w:val="nil"/>
          <w:right w:val="nil"/>
          <w:between w:val="nil"/>
        </w:pBdr>
        <w:rPr>
          <w:rFonts w:ascii="Arial" w:eastAsia="Arial" w:hAnsi="Arial" w:cs="Arial"/>
        </w:rPr>
      </w:pPr>
    </w:p>
    <w:p w14:paraId="6941AEC0" w14:textId="4401DE5D" w:rsidR="003712F5" w:rsidRDefault="004047A3" w:rsidP="004047A3">
      <w:pPr>
        <w:pBdr>
          <w:top w:val="nil"/>
          <w:left w:val="nil"/>
          <w:bottom w:val="nil"/>
          <w:right w:val="nil"/>
          <w:between w:val="nil"/>
        </w:pBdr>
        <w:jc w:val="center"/>
        <w:rPr>
          <w:rFonts w:ascii="Arial" w:eastAsia="Arial" w:hAnsi="Arial" w:cs="Arial"/>
        </w:rPr>
      </w:pPr>
      <w:r w:rsidRPr="004047A3">
        <w:rPr>
          <w:rFonts w:ascii="Arial" w:eastAsia="Arial" w:hAnsi="Arial" w:cs="Arial"/>
        </w:rPr>
        <w:t>Subpart 515.6 – Unsolicited Proposals</w:t>
      </w:r>
    </w:p>
    <w:p w14:paraId="6A3145E3" w14:textId="77777777" w:rsidR="003712F5" w:rsidRDefault="003712F5" w:rsidP="003712F5">
      <w:pPr>
        <w:pBdr>
          <w:top w:val="nil"/>
          <w:left w:val="nil"/>
          <w:bottom w:val="nil"/>
          <w:right w:val="nil"/>
          <w:between w:val="nil"/>
        </w:pBdr>
        <w:rPr>
          <w:rFonts w:ascii="Arial" w:eastAsia="Arial" w:hAnsi="Arial" w:cs="Arial"/>
        </w:rPr>
      </w:pPr>
    </w:p>
    <w:p w14:paraId="3F7BC7E2" w14:textId="77777777" w:rsidR="004047A3" w:rsidRPr="004047A3" w:rsidRDefault="004047A3" w:rsidP="004047A3">
      <w:pPr>
        <w:pBdr>
          <w:top w:val="nil"/>
          <w:left w:val="nil"/>
          <w:bottom w:val="nil"/>
          <w:right w:val="nil"/>
          <w:between w:val="nil"/>
        </w:pBdr>
        <w:rPr>
          <w:rFonts w:ascii="Arial" w:eastAsia="Arial" w:hAnsi="Arial" w:cs="Arial"/>
          <w:strike/>
          <w:sz w:val="22"/>
          <w:szCs w:val="22"/>
          <w:lang w:val="en"/>
        </w:rPr>
      </w:pPr>
      <w:r w:rsidRPr="004047A3">
        <w:rPr>
          <w:rFonts w:ascii="Arial" w:eastAsia="Arial" w:hAnsi="Arial" w:cs="Arial"/>
          <w:strike/>
          <w:sz w:val="22"/>
          <w:szCs w:val="22"/>
          <w:lang w:val="en"/>
        </w:rPr>
        <w:t>515.601 Definitions.</w:t>
      </w:r>
    </w:p>
    <w:p w14:paraId="0AB00B1D" w14:textId="77777777" w:rsidR="004047A3" w:rsidRPr="004047A3" w:rsidRDefault="004047A3" w:rsidP="004047A3">
      <w:pPr>
        <w:pBdr>
          <w:top w:val="nil"/>
          <w:left w:val="nil"/>
          <w:bottom w:val="nil"/>
          <w:right w:val="nil"/>
          <w:between w:val="nil"/>
        </w:pBdr>
        <w:rPr>
          <w:rFonts w:ascii="Arial" w:eastAsia="Arial" w:hAnsi="Arial" w:cs="Arial"/>
          <w:strike/>
          <w:sz w:val="22"/>
          <w:szCs w:val="22"/>
          <w:lang w:val="en"/>
        </w:rPr>
      </w:pPr>
    </w:p>
    <w:p w14:paraId="1EA6FB21" w14:textId="77777777" w:rsidR="004047A3" w:rsidRPr="004047A3" w:rsidRDefault="004047A3" w:rsidP="004047A3">
      <w:pPr>
        <w:pBdr>
          <w:top w:val="nil"/>
          <w:left w:val="nil"/>
          <w:bottom w:val="nil"/>
          <w:right w:val="nil"/>
          <w:between w:val="nil"/>
        </w:pBdr>
        <w:rPr>
          <w:rFonts w:ascii="Arial" w:eastAsia="Arial" w:hAnsi="Arial" w:cs="Arial"/>
          <w:strike/>
          <w:sz w:val="22"/>
          <w:szCs w:val="22"/>
          <w:lang w:val="en"/>
        </w:rPr>
      </w:pPr>
      <w:r w:rsidRPr="004047A3">
        <w:rPr>
          <w:rFonts w:ascii="Arial" w:eastAsia="Arial" w:hAnsi="Arial" w:cs="Arial"/>
          <w:strike/>
          <w:sz w:val="22"/>
          <w:szCs w:val="22"/>
          <w:lang w:val="en"/>
        </w:rPr>
        <w:t>“Coordinating office,” as used in this subpart, means:</w:t>
      </w:r>
    </w:p>
    <w:p w14:paraId="06FCDF2F" w14:textId="77777777" w:rsidR="004047A3" w:rsidRPr="004047A3" w:rsidRDefault="004047A3" w:rsidP="004047A3">
      <w:pPr>
        <w:pBdr>
          <w:top w:val="nil"/>
          <w:left w:val="nil"/>
          <w:bottom w:val="nil"/>
          <w:right w:val="nil"/>
          <w:between w:val="nil"/>
        </w:pBdr>
        <w:rPr>
          <w:rFonts w:ascii="Arial" w:eastAsia="Arial" w:hAnsi="Arial" w:cs="Arial"/>
          <w:strike/>
          <w:sz w:val="22"/>
          <w:szCs w:val="22"/>
          <w:lang w:val="en"/>
        </w:rPr>
      </w:pPr>
    </w:p>
    <w:p w14:paraId="2E0AB869" w14:textId="77777777" w:rsidR="004047A3" w:rsidRPr="004047A3" w:rsidRDefault="004047A3" w:rsidP="004047A3">
      <w:pPr>
        <w:pBdr>
          <w:top w:val="nil"/>
          <w:left w:val="nil"/>
          <w:bottom w:val="nil"/>
          <w:right w:val="nil"/>
          <w:between w:val="nil"/>
        </w:pBdr>
        <w:rPr>
          <w:rFonts w:ascii="Arial" w:eastAsia="Arial" w:hAnsi="Arial" w:cs="Arial"/>
          <w:strike/>
          <w:sz w:val="22"/>
          <w:szCs w:val="22"/>
          <w:lang w:val="en"/>
        </w:rPr>
      </w:pPr>
      <w:r w:rsidRPr="004047A3">
        <w:rPr>
          <w:rFonts w:ascii="Arial" w:eastAsia="Arial" w:hAnsi="Arial" w:cs="Arial"/>
          <w:strike/>
          <w:sz w:val="22"/>
          <w:szCs w:val="22"/>
          <w:lang w:val="en"/>
        </w:rPr>
        <w:t xml:space="preserve">      (a)  The Senior Procurement Executive for all Central Office activities.</w:t>
      </w:r>
    </w:p>
    <w:p w14:paraId="6C515FAB" w14:textId="77777777" w:rsidR="004047A3" w:rsidRPr="004047A3" w:rsidRDefault="004047A3" w:rsidP="004047A3">
      <w:pPr>
        <w:pBdr>
          <w:top w:val="nil"/>
          <w:left w:val="nil"/>
          <w:bottom w:val="nil"/>
          <w:right w:val="nil"/>
          <w:between w:val="nil"/>
        </w:pBdr>
        <w:rPr>
          <w:rFonts w:ascii="Arial" w:eastAsia="Arial" w:hAnsi="Arial" w:cs="Arial"/>
          <w:strike/>
          <w:sz w:val="22"/>
          <w:szCs w:val="22"/>
          <w:lang w:val="en"/>
        </w:rPr>
      </w:pPr>
      <w:r w:rsidRPr="004047A3">
        <w:rPr>
          <w:rFonts w:ascii="Arial" w:eastAsia="Arial" w:hAnsi="Arial" w:cs="Arial"/>
          <w:strike/>
          <w:sz w:val="22"/>
          <w:szCs w:val="22"/>
          <w:lang w:val="en"/>
        </w:rPr>
        <w:t xml:space="preserve">      (b)  The office designated in writing by the Regional Administrator in the Regions.</w:t>
      </w:r>
    </w:p>
    <w:p w14:paraId="3D71E7A3" w14:textId="77777777" w:rsidR="003712F5" w:rsidRDefault="003712F5" w:rsidP="003712F5">
      <w:pPr>
        <w:pBdr>
          <w:top w:val="nil"/>
          <w:left w:val="nil"/>
          <w:bottom w:val="nil"/>
          <w:right w:val="nil"/>
          <w:between w:val="nil"/>
        </w:pBdr>
        <w:rPr>
          <w:rFonts w:ascii="Arial" w:eastAsia="Arial" w:hAnsi="Arial" w:cs="Arial"/>
          <w:b/>
        </w:rPr>
      </w:pPr>
    </w:p>
    <w:p w14:paraId="601FF8B1" w14:textId="77777777" w:rsidR="004047A3" w:rsidRPr="004047A3" w:rsidRDefault="004047A3" w:rsidP="004047A3">
      <w:pPr>
        <w:spacing w:after="200" w:line="276" w:lineRule="auto"/>
        <w:rPr>
          <w:rFonts w:ascii="Arial" w:eastAsia="Arial" w:hAnsi="Arial" w:cs="Arial"/>
          <w:sz w:val="22"/>
          <w:szCs w:val="22"/>
          <w:lang w:val="en"/>
        </w:rPr>
      </w:pPr>
      <w:r w:rsidRPr="004047A3">
        <w:rPr>
          <w:rFonts w:ascii="Arial" w:eastAsia="Arial" w:hAnsi="Arial" w:cs="Arial"/>
          <w:b/>
          <w:sz w:val="22"/>
          <w:szCs w:val="22"/>
          <w:lang w:val="en"/>
        </w:rPr>
        <w:t>[515.604 – Agency points of contact.</w:t>
      </w:r>
    </w:p>
    <w:p w14:paraId="6BBACFC8" w14:textId="77777777" w:rsidR="004047A3" w:rsidRPr="004047A3" w:rsidRDefault="004047A3" w:rsidP="004047A3">
      <w:pPr>
        <w:spacing w:after="200" w:line="276" w:lineRule="auto"/>
        <w:ind w:firstLine="450"/>
        <w:rPr>
          <w:rFonts w:ascii="Arial" w:eastAsia="Arial" w:hAnsi="Arial" w:cs="Arial"/>
          <w:b/>
          <w:sz w:val="22"/>
          <w:szCs w:val="22"/>
          <w:lang w:val="en"/>
        </w:rPr>
      </w:pPr>
      <w:r w:rsidRPr="004047A3">
        <w:rPr>
          <w:rFonts w:ascii="Arial" w:eastAsia="Arial" w:hAnsi="Arial" w:cs="Arial"/>
          <w:b/>
          <w:sz w:val="22"/>
          <w:szCs w:val="22"/>
          <w:lang w:val="en"/>
        </w:rPr>
        <w:t>(a) All unsolicited proposals that meet the criteria at FAR 15.605 and FAR 15.606-1(a) shall be submitted following the format posted at www.gsa.gov/unsolicitedproposal.</w:t>
      </w:r>
    </w:p>
    <w:p w14:paraId="78C22603" w14:textId="77777777" w:rsidR="004047A3" w:rsidRPr="004047A3" w:rsidRDefault="004047A3" w:rsidP="004047A3">
      <w:pPr>
        <w:spacing w:after="200" w:line="276" w:lineRule="auto"/>
        <w:ind w:firstLine="450"/>
        <w:rPr>
          <w:rFonts w:ascii="Arial" w:eastAsia="Arial" w:hAnsi="Arial" w:cs="Arial"/>
          <w:b/>
          <w:sz w:val="22"/>
          <w:szCs w:val="22"/>
          <w:lang w:val="en"/>
        </w:rPr>
      </w:pPr>
      <w:r w:rsidRPr="004047A3">
        <w:rPr>
          <w:rFonts w:ascii="Arial" w:eastAsia="Arial" w:hAnsi="Arial" w:cs="Arial"/>
          <w:b/>
          <w:sz w:val="22"/>
          <w:szCs w:val="22"/>
          <w:lang w:val="en"/>
        </w:rPr>
        <w:t>(b) The Office of Acquisition Policy will forward the proposal to the appropriate HCA, except as stated in paragraph (c). HCAs are responsible for review and response to forwarded unsolicited proposals.</w:t>
      </w:r>
    </w:p>
    <w:p w14:paraId="1AAACF89" w14:textId="4C90BC9E" w:rsidR="003712F5" w:rsidRDefault="004047A3" w:rsidP="004047A3">
      <w:pPr>
        <w:pBdr>
          <w:top w:val="nil"/>
          <w:left w:val="nil"/>
          <w:bottom w:val="nil"/>
          <w:right w:val="nil"/>
          <w:between w:val="nil"/>
        </w:pBdr>
        <w:rPr>
          <w:rFonts w:ascii="Arial" w:eastAsia="Arial" w:hAnsi="Arial" w:cs="Arial"/>
          <w:b/>
          <w:sz w:val="22"/>
          <w:szCs w:val="22"/>
          <w:lang w:val="en"/>
        </w:rPr>
      </w:pPr>
      <w:r w:rsidRPr="004047A3">
        <w:rPr>
          <w:rFonts w:ascii="Arial" w:eastAsia="Arial" w:hAnsi="Arial" w:cs="Arial"/>
          <w:b/>
          <w:sz w:val="22"/>
          <w:szCs w:val="22"/>
          <w:lang w:val="en"/>
        </w:rPr>
        <w:t>(c) Unsolicited proposals that may apply to agency-wide programs will remain with the Office of Acquisition Policy for review and response.]</w:t>
      </w:r>
    </w:p>
    <w:p w14:paraId="67A0E48B" w14:textId="226C9EF6" w:rsidR="004047A3" w:rsidRDefault="004047A3" w:rsidP="004047A3">
      <w:pPr>
        <w:pBdr>
          <w:top w:val="nil"/>
          <w:left w:val="nil"/>
          <w:bottom w:val="nil"/>
          <w:right w:val="nil"/>
          <w:between w:val="nil"/>
        </w:pBdr>
        <w:rPr>
          <w:rFonts w:ascii="Arial" w:eastAsia="Arial" w:hAnsi="Arial" w:cs="Arial"/>
          <w:b/>
          <w:sz w:val="22"/>
          <w:szCs w:val="22"/>
          <w:lang w:val="en"/>
        </w:rPr>
      </w:pPr>
    </w:p>
    <w:p w14:paraId="7E9AA2D0" w14:textId="77777777" w:rsidR="00FE3A65" w:rsidRPr="00FE3A65" w:rsidRDefault="00FE3A65" w:rsidP="00FE3A65">
      <w:pPr>
        <w:spacing w:after="200" w:line="276" w:lineRule="auto"/>
        <w:rPr>
          <w:rFonts w:ascii="Arial" w:eastAsia="Arial" w:hAnsi="Arial" w:cs="Arial"/>
          <w:sz w:val="22"/>
          <w:szCs w:val="22"/>
          <w:lang w:val="en"/>
        </w:rPr>
      </w:pPr>
      <w:r w:rsidRPr="00FE3A65">
        <w:rPr>
          <w:rFonts w:ascii="Arial" w:eastAsia="Arial" w:hAnsi="Arial" w:cs="Arial"/>
          <w:sz w:val="22"/>
          <w:szCs w:val="22"/>
          <w:lang w:val="en"/>
        </w:rPr>
        <w:t>515.606 Agency procedures.</w:t>
      </w:r>
    </w:p>
    <w:p w14:paraId="0D64F9B4" w14:textId="77777777" w:rsidR="00FE3A65" w:rsidRPr="00FE3A65" w:rsidRDefault="00FE3A65" w:rsidP="00FE3A65">
      <w:pPr>
        <w:spacing w:after="200" w:line="276" w:lineRule="auto"/>
        <w:rPr>
          <w:rFonts w:ascii="Arial" w:eastAsia="Arial" w:hAnsi="Arial" w:cs="Arial"/>
          <w:strike/>
          <w:sz w:val="22"/>
          <w:szCs w:val="22"/>
          <w:lang w:val="en"/>
        </w:rPr>
      </w:pPr>
      <w:r w:rsidRPr="00FE3A65">
        <w:rPr>
          <w:rFonts w:ascii="Arial" w:eastAsia="Arial" w:hAnsi="Arial" w:cs="Arial"/>
          <w:strike/>
          <w:sz w:val="22"/>
          <w:szCs w:val="22"/>
          <w:lang w:val="en"/>
        </w:rPr>
        <w:t>Coordinating offices serve as agency points of contact and establish procedures for controlling the receipt, evaluation, and timely disposition of proposals consistent with FAR subpart 15.6.</w:t>
      </w:r>
    </w:p>
    <w:p w14:paraId="0CAA6817" w14:textId="77777777" w:rsidR="000F51A2" w:rsidRDefault="000F51A2">
      <w:r>
        <w:br w:type="page"/>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FE3A65" w14:paraId="7FE56FE7" w14:textId="77777777" w:rsidTr="00F4207F">
        <w:tc>
          <w:tcPr>
            <w:tcW w:w="9576" w:type="dxa"/>
            <w:tcBorders>
              <w:top w:val="nil"/>
              <w:left w:val="nil"/>
              <w:bottom w:val="nil"/>
              <w:right w:val="nil"/>
            </w:tcBorders>
            <w:shd w:val="clear" w:color="auto" w:fill="auto"/>
          </w:tcPr>
          <w:p w14:paraId="408AB41B" w14:textId="77777777" w:rsidR="00FE3A65" w:rsidRDefault="00FE3A65" w:rsidP="00F4207F">
            <w:pPr>
              <w:rPr>
                <w:b/>
              </w:rPr>
            </w:pPr>
            <w:r>
              <w:rPr>
                <w:b/>
              </w:rPr>
              <w:t>[515.606-1 – Receipt and initial review.</w:t>
            </w:r>
          </w:p>
          <w:p w14:paraId="242C453B" w14:textId="77777777" w:rsidR="00FE3A65" w:rsidRDefault="00FE3A65" w:rsidP="00F4207F">
            <w:pPr>
              <w:rPr>
                <w:b/>
              </w:rPr>
            </w:pPr>
          </w:p>
          <w:p w14:paraId="51689E9B" w14:textId="77777777" w:rsidR="00FE3A65" w:rsidRDefault="00FE3A65" w:rsidP="00F4207F">
            <w:pPr>
              <w:ind w:firstLine="450"/>
              <w:rPr>
                <w:b/>
              </w:rPr>
            </w:pPr>
            <w:r>
              <w:rPr>
                <w:b/>
              </w:rPr>
              <w:t xml:space="preserve">(a) Before initiating a comprehensive evaluation, the agency point of contact, identified in 515.604, shall determine if the proposal meets the requirements of FAR 15.606-1(a). </w:t>
            </w:r>
          </w:p>
          <w:p w14:paraId="359986A9" w14:textId="77777777" w:rsidR="00FE3A65" w:rsidRDefault="00FE3A65" w:rsidP="00F4207F">
            <w:pPr>
              <w:ind w:firstLine="450"/>
              <w:rPr>
                <w:b/>
              </w:rPr>
            </w:pPr>
            <w:r>
              <w:rPr>
                <w:b/>
              </w:rPr>
              <w:t>(b) If the proposal qualifies, the HCA or the Office of Acquisition Policy shall inform the offeror of receipt and process the proposal in accordance with FAR 15.606-1(b) and 515.606-2.</w:t>
            </w:r>
          </w:p>
          <w:p w14:paraId="5DCFDFE1" w14:textId="77777777" w:rsidR="00FE3A65" w:rsidRDefault="00FE3A65" w:rsidP="00F4207F">
            <w:pPr>
              <w:ind w:firstLine="450"/>
              <w:rPr>
                <w:b/>
              </w:rPr>
            </w:pPr>
            <w:r>
              <w:rPr>
                <w:b/>
              </w:rPr>
              <w:t xml:space="preserve">(c) If the proposal does not qualify, the HCA or the Office of Acquisition Policy shall inform the offeror of why the proposal was rejected in accordance with FAR 15.606-1(c). </w:t>
            </w:r>
          </w:p>
          <w:p w14:paraId="0ACC9674" w14:textId="77777777" w:rsidR="00FE3A65" w:rsidRDefault="00FE3A65" w:rsidP="00F4207F">
            <w:pPr>
              <w:ind w:firstLine="450"/>
              <w:rPr>
                <w:b/>
              </w:rPr>
            </w:pPr>
            <w:r>
              <w:rPr>
                <w:b/>
              </w:rPr>
              <w:t>(d) Sample responses can be found on the Acquisition Portal at https://insite.gsa.gov/unsolicitedproposal.]</w:t>
            </w:r>
          </w:p>
          <w:p w14:paraId="65B4A034" w14:textId="77777777" w:rsidR="00FE3A65" w:rsidRDefault="00FE3A65" w:rsidP="00F4207F"/>
          <w:p w14:paraId="5D72D058" w14:textId="77777777" w:rsidR="00FE3A65" w:rsidRDefault="00FE3A65" w:rsidP="00F4207F">
            <w:r>
              <w:t>515.606-2 - Evaluation.</w:t>
            </w:r>
          </w:p>
          <w:p w14:paraId="18AF9790" w14:textId="77777777" w:rsidR="00FE3A65" w:rsidRDefault="00FE3A65" w:rsidP="00F4207F">
            <w:pPr>
              <w:shd w:val="clear" w:color="auto" w:fill="FFFFFF"/>
              <w:ind w:firstLine="450"/>
            </w:pPr>
            <w:r>
              <w:rPr>
                <w:b/>
              </w:rPr>
              <w:t>[(a) The HCA or the Office of Acquisition Policy should complete]</w:t>
            </w:r>
            <w:r>
              <w:t xml:space="preserve"> </w:t>
            </w:r>
            <w:r>
              <w:rPr>
                <w:strike/>
              </w:rPr>
              <w:t>Complete</w:t>
            </w:r>
            <w:r>
              <w:t xml:space="preserve"> the evaluation as soon as practicable, normally within </w:t>
            </w:r>
            <w:r>
              <w:rPr>
                <w:strike/>
              </w:rPr>
              <w:t>45</w:t>
            </w:r>
            <w:r>
              <w:t xml:space="preserve"> </w:t>
            </w:r>
            <w:r>
              <w:rPr>
                <w:b/>
              </w:rPr>
              <w:t xml:space="preserve">[14 calendar days for initial review or 90] </w:t>
            </w:r>
            <w:r>
              <w:t xml:space="preserve">calendar days </w:t>
            </w:r>
            <w:r>
              <w:rPr>
                <w:b/>
              </w:rPr>
              <w:t>[for comprehensive evaluation</w:t>
            </w:r>
            <w:r>
              <w:t xml:space="preserve">. </w:t>
            </w:r>
          </w:p>
          <w:p w14:paraId="23562FC1" w14:textId="77777777" w:rsidR="00FE3A65" w:rsidRDefault="00FE3A65" w:rsidP="00F4207F">
            <w:pPr>
              <w:shd w:val="clear" w:color="auto" w:fill="FFFFFF"/>
              <w:ind w:firstLine="450"/>
              <w:rPr>
                <w:b/>
              </w:rPr>
            </w:pPr>
            <w:r>
              <w:rPr>
                <w:b/>
              </w:rPr>
              <w:t xml:space="preserve">(b) The HCA or the Office of Acquisition Policy shall complete a comprehensive evaluation in accordance with the factors listed in FAR 15.606-2 and any other factors deemed appropriate. </w:t>
            </w:r>
          </w:p>
          <w:p w14:paraId="3C72BAAF" w14:textId="77777777" w:rsidR="00FE3A65" w:rsidRDefault="00FE3A65" w:rsidP="00F4207F">
            <w:pPr>
              <w:shd w:val="clear" w:color="auto" w:fill="FFFFFF"/>
              <w:ind w:firstLine="450"/>
              <w:rPr>
                <w:b/>
              </w:rPr>
            </w:pPr>
            <w:r>
              <w:rPr>
                <w:b/>
              </w:rPr>
              <w:t>(c) Once complete, the HCA or Office of Acquisition Policy should c]</w:t>
            </w:r>
            <w:r>
              <w:rPr>
                <w:strike/>
              </w:rPr>
              <w:t>C</w:t>
            </w:r>
            <w:r>
              <w:t>ommunicate the results of the evaluation to the offeror.</w:t>
            </w:r>
          </w:p>
          <w:p w14:paraId="18708E90" w14:textId="77777777" w:rsidR="00FE3A65" w:rsidRDefault="00FE3A65" w:rsidP="00F4207F">
            <w:pPr>
              <w:rPr>
                <w:b/>
              </w:rPr>
            </w:pPr>
          </w:p>
          <w:p w14:paraId="3119ECA0" w14:textId="77777777" w:rsidR="00FE3A65" w:rsidRDefault="00FE3A65" w:rsidP="00F4207F">
            <w:pPr>
              <w:rPr>
                <w:strike/>
              </w:rPr>
            </w:pPr>
            <w:r>
              <w:rPr>
                <w:strike/>
              </w:rPr>
              <w:t>515.609 Limited use of data.</w:t>
            </w:r>
          </w:p>
          <w:p w14:paraId="4A978673" w14:textId="77777777" w:rsidR="00FE3A65" w:rsidRDefault="00FE3A65" w:rsidP="00F4207F">
            <w:pPr>
              <w:rPr>
                <w:strike/>
              </w:rPr>
            </w:pPr>
          </w:p>
          <w:p w14:paraId="320DB8D4" w14:textId="77777777" w:rsidR="00FE3A65" w:rsidRDefault="00FE3A65" w:rsidP="00F4207F">
            <w:pPr>
              <w:rPr>
                <w:strike/>
              </w:rPr>
            </w:pPr>
            <w:r>
              <w:rPr>
                <w:strike/>
              </w:rPr>
              <w:t>When releasing an unsolicited proposal for evaluation, use the “Conflict of Interest Acknowledgment and Nondisclosure Agreement” in Figure 1.</w:t>
            </w:r>
          </w:p>
          <w:p w14:paraId="537868B1" w14:textId="77777777" w:rsidR="00FE3A65" w:rsidRDefault="00FE3A65" w:rsidP="00F4207F">
            <w:pPr>
              <w:rPr>
                <w:b/>
              </w:rPr>
            </w:pPr>
          </w:p>
          <w:p w14:paraId="4D5539AC" w14:textId="6B091BC3" w:rsidR="00FE3A65" w:rsidRDefault="00FE3A65" w:rsidP="00F4207F">
            <w:r>
              <w:rPr>
                <w:b/>
              </w:rPr>
              <w:t>*</w:t>
            </w:r>
            <w:r w:rsidR="000F51A2">
              <w:rPr>
                <w:b/>
              </w:rPr>
              <w:t xml:space="preserve">  </w:t>
            </w:r>
            <w:r>
              <w:rPr>
                <w:b/>
              </w:rPr>
              <w:t xml:space="preserve"> *</w:t>
            </w:r>
            <w:r w:rsidR="000F51A2">
              <w:rPr>
                <w:b/>
              </w:rPr>
              <w:t xml:space="preserve">  </w:t>
            </w:r>
            <w:r>
              <w:rPr>
                <w:b/>
              </w:rPr>
              <w:t xml:space="preserve"> * </w:t>
            </w:r>
            <w:r w:rsidR="000F51A2">
              <w:rPr>
                <w:b/>
              </w:rPr>
              <w:t xml:space="preserve">  </w:t>
            </w:r>
            <w:r>
              <w:rPr>
                <w:b/>
              </w:rPr>
              <w:t>*</w:t>
            </w:r>
            <w:r w:rsidR="000F51A2">
              <w:rPr>
                <w:b/>
              </w:rPr>
              <w:t xml:space="preserve">   </w:t>
            </w:r>
            <w:r>
              <w:rPr>
                <w:b/>
              </w:rPr>
              <w:t>*</w:t>
            </w:r>
          </w:p>
          <w:p w14:paraId="6BA3A45D" w14:textId="77777777" w:rsidR="00FE3A65" w:rsidRDefault="00FE3A65" w:rsidP="00F4207F">
            <w:pPr>
              <w:rPr>
                <w:b/>
              </w:rPr>
            </w:pPr>
          </w:p>
        </w:tc>
      </w:tr>
    </w:tbl>
    <w:p w14:paraId="3C1AFD83" w14:textId="77777777" w:rsidR="004047A3" w:rsidRDefault="004047A3" w:rsidP="00FE3A65">
      <w:pPr>
        <w:pBdr>
          <w:top w:val="nil"/>
          <w:left w:val="nil"/>
          <w:bottom w:val="nil"/>
          <w:right w:val="nil"/>
          <w:between w:val="nil"/>
        </w:pBdr>
        <w:rPr>
          <w:rFonts w:ascii="Arial" w:eastAsia="Arial" w:hAnsi="Arial" w:cs="Arial"/>
        </w:rPr>
      </w:pPr>
    </w:p>
    <w:sectPr w:rsidR="004047A3" w:rsidSect="003712F5">
      <w:headerReference w:type="default" r:id="rId8"/>
      <w:footerReference w:type="default" r:id="rId9"/>
      <w:pgSz w:w="12240" w:h="15840"/>
      <w:pgMar w:top="1440" w:right="1800" w:bottom="1440" w:left="180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CBD10" w14:textId="77777777" w:rsidR="00E21B09" w:rsidRDefault="0037420F">
      <w:r>
        <w:separator/>
      </w:r>
    </w:p>
  </w:endnote>
  <w:endnote w:type="continuationSeparator" w:id="0">
    <w:p w14:paraId="05214548" w14:textId="77777777" w:rsidR="00E21B09" w:rsidRDefault="00374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985671"/>
      <w:docPartObj>
        <w:docPartGallery w:val="Page Numbers (Bottom of Page)"/>
        <w:docPartUnique/>
      </w:docPartObj>
    </w:sdtPr>
    <w:sdtEndPr>
      <w:rPr>
        <w:noProof/>
      </w:rPr>
    </w:sdtEndPr>
    <w:sdtContent>
      <w:p w14:paraId="18CAA094" w14:textId="1675F5A2" w:rsidR="003712F5" w:rsidRDefault="003712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028" w14:textId="77777777" w:rsidR="00490B8A" w:rsidRPr="003712F5" w:rsidRDefault="00490B8A" w:rsidP="0037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A0196" w14:textId="77777777" w:rsidR="00E21B09" w:rsidRDefault="0037420F">
      <w:r>
        <w:separator/>
      </w:r>
    </w:p>
  </w:footnote>
  <w:footnote w:type="continuationSeparator" w:id="0">
    <w:p w14:paraId="411D689A" w14:textId="77777777" w:rsidR="00E21B09" w:rsidRDefault="00374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490B8A" w:rsidRDefault="00490B8A">
    <w:pPr>
      <w:tabs>
        <w:tab w:val="center" w:pos="4680"/>
        <w:tab w:val="right" w:pos="9360"/>
      </w:tabs>
      <w:ind w:right="-15"/>
      <w:jc w:val="right"/>
      <w:rPr>
        <w:b/>
        <w:sz w:val="18"/>
        <w:szCs w:val="18"/>
      </w:rPr>
    </w:pPr>
  </w:p>
  <w:p w14:paraId="00000024" w14:textId="77777777" w:rsidR="00490B8A" w:rsidRDefault="00490B8A">
    <w:pPr>
      <w:tabs>
        <w:tab w:val="center" w:pos="4680"/>
        <w:tab w:val="right" w:pos="9360"/>
      </w:tabs>
      <w:ind w:right="-15"/>
      <w:rPr>
        <w:rFonts w:ascii="Arial" w:eastAsia="Arial" w:hAnsi="Arial" w:cs="Arial"/>
        <w:b/>
        <w:sz w:val="18"/>
        <w:szCs w:val="18"/>
      </w:rPr>
    </w:pPr>
  </w:p>
  <w:p w14:paraId="00000025" w14:textId="77777777" w:rsidR="00490B8A" w:rsidRDefault="00490B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D7AEC"/>
    <w:multiLevelType w:val="multilevel"/>
    <w:tmpl w:val="039CE9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F801B51"/>
    <w:multiLevelType w:val="multilevel"/>
    <w:tmpl w:val="4CFCF542"/>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B8A"/>
    <w:rsid w:val="000F51A2"/>
    <w:rsid w:val="003712F5"/>
    <w:rsid w:val="0037420F"/>
    <w:rsid w:val="004047A3"/>
    <w:rsid w:val="00490B8A"/>
    <w:rsid w:val="004B114C"/>
    <w:rsid w:val="00552D36"/>
    <w:rsid w:val="00743A89"/>
    <w:rsid w:val="00762557"/>
    <w:rsid w:val="00A319EB"/>
    <w:rsid w:val="00BF599D"/>
    <w:rsid w:val="00E21B09"/>
    <w:rsid w:val="00E9159B"/>
    <w:rsid w:val="00FC12EB"/>
    <w:rsid w:val="00FE3A65"/>
    <w:rsid w:val="00FF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F522"/>
  <w15:docId w15:val="{32E54D6C-E7C5-44D5-9D71-6335C182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100" w:after="10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319EB"/>
    <w:rPr>
      <w:sz w:val="16"/>
      <w:szCs w:val="16"/>
    </w:rPr>
  </w:style>
  <w:style w:type="paragraph" w:styleId="CommentText">
    <w:name w:val="annotation text"/>
    <w:basedOn w:val="Normal"/>
    <w:link w:val="CommentTextChar"/>
    <w:uiPriority w:val="99"/>
    <w:semiHidden/>
    <w:unhideWhenUsed/>
    <w:rsid w:val="00A319EB"/>
    <w:rPr>
      <w:sz w:val="20"/>
      <w:szCs w:val="20"/>
    </w:rPr>
  </w:style>
  <w:style w:type="character" w:customStyle="1" w:styleId="CommentTextChar">
    <w:name w:val="Comment Text Char"/>
    <w:basedOn w:val="DefaultParagraphFont"/>
    <w:link w:val="CommentText"/>
    <w:uiPriority w:val="99"/>
    <w:semiHidden/>
    <w:rsid w:val="00A319EB"/>
    <w:rPr>
      <w:sz w:val="20"/>
      <w:szCs w:val="20"/>
    </w:rPr>
  </w:style>
  <w:style w:type="paragraph" w:styleId="CommentSubject">
    <w:name w:val="annotation subject"/>
    <w:basedOn w:val="CommentText"/>
    <w:next w:val="CommentText"/>
    <w:link w:val="CommentSubjectChar"/>
    <w:uiPriority w:val="99"/>
    <w:semiHidden/>
    <w:unhideWhenUsed/>
    <w:rsid w:val="00A319EB"/>
    <w:rPr>
      <w:b/>
      <w:bCs/>
    </w:rPr>
  </w:style>
  <w:style w:type="character" w:customStyle="1" w:styleId="CommentSubjectChar">
    <w:name w:val="Comment Subject Char"/>
    <w:basedOn w:val="CommentTextChar"/>
    <w:link w:val="CommentSubject"/>
    <w:uiPriority w:val="99"/>
    <w:semiHidden/>
    <w:rsid w:val="00A319EB"/>
    <w:rPr>
      <w:b/>
      <w:bCs/>
      <w:sz w:val="20"/>
      <w:szCs w:val="20"/>
    </w:rPr>
  </w:style>
  <w:style w:type="paragraph" w:styleId="BalloonText">
    <w:name w:val="Balloon Text"/>
    <w:basedOn w:val="Normal"/>
    <w:link w:val="BalloonTextChar"/>
    <w:uiPriority w:val="99"/>
    <w:semiHidden/>
    <w:unhideWhenUsed/>
    <w:rsid w:val="00A319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9EB"/>
    <w:rPr>
      <w:rFonts w:ascii="Segoe UI" w:hAnsi="Segoe UI" w:cs="Segoe UI"/>
      <w:sz w:val="18"/>
      <w:szCs w:val="18"/>
    </w:rPr>
  </w:style>
  <w:style w:type="paragraph" w:styleId="Header">
    <w:name w:val="header"/>
    <w:basedOn w:val="Normal"/>
    <w:link w:val="HeaderChar"/>
    <w:uiPriority w:val="99"/>
    <w:unhideWhenUsed/>
    <w:rsid w:val="003712F5"/>
    <w:pPr>
      <w:tabs>
        <w:tab w:val="center" w:pos="4680"/>
        <w:tab w:val="right" w:pos="9360"/>
      </w:tabs>
    </w:pPr>
  </w:style>
  <w:style w:type="character" w:customStyle="1" w:styleId="HeaderChar">
    <w:name w:val="Header Char"/>
    <w:basedOn w:val="DefaultParagraphFont"/>
    <w:link w:val="Header"/>
    <w:uiPriority w:val="99"/>
    <w:rsid w:val="003712F5"/>
  </w:style>
  <w:style w:type="paragraph" w:styleId="Footer">
    <w:name w:val="footer"/>
    <w:basedOn w:val="Normal"/>
    <w:link w:val="FooterChar"/>
    <w:uiPriority w:val="99"/>
    <w:unhideWhenUsed/>
    <w:rsid w:val="003712F5"/>
    <w:pPr>
      <w:tabs>
        <w:tab w:val="center" w:pos="4680"/>
        <w:tab w:val="right" w:pos="9360"/>
      </w:tabs>
    </w:pPr>
  </w:style>
  <w:style w:type="character" w:customStyle="1" w:styleId="FooterChar">
    <w:name w:val="Footer Char"/>
    <w:basedOn w:val="DefaultParagraphFont"/>
    <w:link w:val="Footer"/>
    <w:uiPriority w:val="99"/>
    <w:rsid w:val="003712F5"/>
  </w:style>
  <w:style w:type="paragraph" w:styleId="ListParagraph">
    <w:name w:val="List Paragraph"/>
    <w:basedOn w:val="Normal"/>
    <w:uiPriority w:val="34"/>
    <w:qFormat/>
    <w:rsid w:val="00FF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sarpolicy@g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CynthiaLJones</cp:lastModifiedBy>
  <cp:revision>10</cp:revision>
  <dcterms:created xsi:type="dcterms:W3CDTF">2021-02-05T15:49:00Z</dcterms:created>
  <dcterms:modified xsi:type="dcterms:W3CDTF">2021-04-01T19:48:00Z</dcterms:modified>
</cp:coreProperties>
</file>