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**ID__NMCARS_5206.502__ID**</w:t>
      </w:r>
    </w:p>
    <w:p>
      <w:pPr>
        <w:pStyle w:val="Heading3"/>
        <w:spacing w:after="199"/>
        <w:ind w:left="120"/>
        <w:jc w:val="left"/>
      </w:pPr>
      <w:r>
        <w:rPr>
          <w:rFonts w:ascii="Times New Roman" w:hAnsi="Times New Roman"/>
          <w:color w:val="000000"/>
          <w:sz w:val="31"/>
        </w:rPr>
        <w:t>5206.502</w:t>
      </w:r>
      <w:r>
        <w:rPr>
          <w:rFonts w:ascii="Times New Roman" w:hAnsi="Times New Roman"/>
          <w:color w:val="000000"/>
          <w:sz w:val="31"/>
        </w:rPr>
        <w:t xml:space="preserve"> Duties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(b)(2) The annual competition report shall be submitted via DASN(P) by January 31st of each year by email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FAR 6.502(b) Annual Competition Report.”</w:t>
      </w:r>
    </w:p>
    <w:p>
      <w:pPr>
        <w:pBdr>
          <w:top w:space="5"/>
          <w:left w:space="5"/>
          <w:bottom w:space="5"/>
          <w:right w:space="5"/>
        </w:pBdr>
        <w:spacing w:after="0"/>
        <w:ind w:left="585"/>
        <w:jc w:val="left"/>
      </w:pPr>
      <w:r>
        <w:rPr>
          <w:rFonts w:ascii="Times New Roman" w:hAnsi="Times New Roman"/>
          <w:b w:val="false"/>
          <w:i w:val="false"/>
          <w:color w:val="000000"/>
          <w:sz w:val="22"/>
        </w:rPr>
        <w:t>(S-90) Competition advocates shall also:</w:t>
      </w:r>
    </w:p>
    <w:p>
      <w:pPr>
        <w:pBdr>
          <w:top w:space="5"/>
          <w:left w:space="5"/>
          <w:bottom w:space="5"/>
          <w:right w:space="5"/>
        </w:pBdr>
        <w:spacing w:after="0"/>
        <w:ind w:left="945"/>
        <w:jc w:val="left"/>
      </w:pPr>
      <w:r>
        <w:rPr>
          <w:rFonts w:ascii="Times New Roman" w:hAnsi="Times New Roman"/>
          <w:b w:val="false"/>
          <w:i w:val="false"/>
          <w:color w:val="000000"/>
          <w:sz w:val="22"/>
        </w:rPr>
        <w:t>(1) Act as the primary focal points to assist members of the private sector regarding their expressed concerns or complaints in reference to the manner of application or lack of application of competition in the acquisition process; and</w:t>
      </w:r>
    </w:p>
    <w:p>
      <w:pPr>
        <w:pBdr>
          <w:top w:space="5"/>
          <w:left w:space="5"/>
          <w:bottom w:space="5"/>
          <w:right w:space="5"/>
        </w:pBdr>
        <w:spacing w:after="0"/>
        <w:ind w:left="945"/>
        <w:jc w:val="left"/>
      </w:pPr>
      <w:r>
        <w:rPr>
          <w:rFonts w:ascii="Times New Roman" w:hAnsi="Times New Roman"/>
          <w:b w:val="false"/>
          <w:i w:val="false"/>
          <w:color w:val="000000"/>
          <w:sz w:val="22"/>
        </w:rPr>
        <w:t>(2) Take appropriate action to ensure that valid complaints from the private sector are resolved in a fair and timely manner.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RDAJ&amp;As.fct@navy.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