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5207.105</w:t>
      </w:r>
      <w:r>
        <w:rPr>
          <w:rFonts w:ascii="Times New Roman" w:hAnsi="Times New Roman"/>
          <w:color w:val="000000"/>
          <w:sz w:val="31"/>
        </w:rPr>
        <w:t xml:space="preserve"> Contents of written acquisition plans.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Notwithstanding the requirements in FAR 7.105 and DFARS 207.105, the Navy acquisition planning process is streamlined to describe the irreducible minimum content allowed for a STRAP. The specific content of STRAPs shall conform to the templates found in Annexes 17 through 20 (see 5207.103 for additional details, including approvals). For revisions to an individual contract within a previously approved PSTRAP or PSTRAP-M (as appropriate), use of an ISTRAP or ISTRAP-M for the individual contract is acceptable.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(a) The planner shall submit a PSTRAP, using Annex 17 or Annex 19, when the requirements office chooses to write a single plan for all known program actions.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planner shall submit an ISTRAP, Annex 18 or Annex 20, when there is only one contract, task or delivery order to be covered by the plan.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