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**ID__NMCARS_5209.4063__ID**</w:t>
      </w:r>
    </w:p>
    <w:p>
      <w:pPr>
        <w:pStyle w:val="Heading4"/>
        <w:spacing w:after="269"/>
        <w:ind w:left="120"/>
        <w:jc w:val="left"/>
      </w:pPr>
      <w:r>
        <w:rPr>
          <w:rFonts w:ascii="Times New Roman" w:hAnsi="Times New Roman"/>
          <w:i w:val="false"/>
          <w:color w:val="000000"/>
          <w:sz w:val="24"/>
        </w:rPr>
        <w:t>5209.406-3</w:t>
      </w:r>
      <w:r>
        <w:rPr>
          <w:rFonts w:ascii="Times New Roman" w:hAnsi="Times New Roman"/>
          <w:i w:val="false"/>
          <w:color w:val="000000"/>
          <w:sz w:val="24"/>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(i) Refer all matters to AGC(AI).</w:t>
      </w:r>
    </w:p>
    <w:p>
      <w:pPr>
        <w:pBdr>
          <w:top w:space="5"/>
          <w:left w:space="5"/>
          <w:bottom w:space="5"/>
          <w:right w:space="5"/>
        </w:pBdr>
        <w:spacing w:after="0"/>
        <w:ind w:left="225"/>
        <w:jc w:val="left"/>
      </w:pPr>
      <w:r>
        <w:rPr>
          <w:rFonts w:ascii="Times New Roman" w:hAnsi="Times New Roman"/>
          <w:b w:val="false"/>
          <w:i w:val="false"/>
          <w:color w:val="000000"/>
          <w:sz w:val="22"/>
        </w:rPr>
        <w:t>(ii)(D) Entity Identifier reports should also be included for all known affiliates, subsidiaries, or parent firms.</w:t>
      </w:r>
    </w:p>
    <w:p>
      <w:pPr>
        <w:pBdr>
          <w:top w:space="5"/>
          <w:left w:space="5"/>
          <w:bottom w:space="5"/>
          <w:right w:space="5"/>
        </w:pBdr>
        <w:spacing w:after="0"/>
        <w:ind w:left="225"/>
        <w:jc w:val="left"/>
      </w:pPr>
      <w:r>
        <w:rPr>
          <w:rFonts w:ascii="Times New Roman" w:hAnsi="Times New Roman"/>
          <w:b w:val="false"/>
          <w:i w:val="false"/>
          <w:color w:val="000000"/>
          <w:sz w:val="22"/>
        </w:rPr>
        <w:t>(ii)(E)(2) Whether to apply limitations to the suspension or debarment and provide a recommendation for debarment or suspension action in the case of any subsidiaries and the officers thereof.</w:t>
      </w:r>
    </w:p>
    <w:p>
      <w:pPr>
        <w:pBdr>
          <w:top w:space="5"/>
          <w:left w:space="5"/>
          <w:bottom w:space="5"/>
          <w:right w:space="5"/>
        </w:pBdr>
        <w:spacing w:after="0"/>
        <w:ind w:left="225"/>
        <w:jc w:val="left"/>
      </w:pPr>
      <w:r>
        <w:rPr>
          <w:rFonts w:ascii="Times New Roman" w:hAnsi="Times New Roman"/>
          <w:b w:val="false"/>
          <w:i w:val="false"/>
          <w:color w:val="000000"/>
          <w:sz w:val="22"/>
        </w:rPr>
        <w:t>(iii)(A) In cases involving indictments, forward reports within 15 calendar days after the indictment is filed.</w:t>
      </w:r>
    </w:p>
    <w:p>
      <w:pPr>
        <w:pBdr>
          <w:top w:space="5"/>
          <w:left w:space="5"/>
          <w:bottom w:space="5"/>
          <w:right w:space="5"/>
        </w:pBdr>
        <w:spacing w:after="0"/>
        <w:ind w:left="225"/>
        <w:jc w:val="left"/>
      </w:pPr>
      <w:r>
        <w:rPr>
          <w:rFonts w:ascii="Times New Roman" w:hAnsi="Times New Roman"/>
          <w:b w:val="false"/>
          <w:i w:val="false"/>
          <w:color w:val="000000"/>
          <w:sz w:val="22"/>
        </w:rPr>
        <w:t xml:space="preserve">(iv)(S-90) Contracting officers shall report when the contractor receives a rating of “Unsatisfactory” in any evaluation area of Past Performance under a DON contract to the DON AIO. When the contracting officer issues a show cause or cure notice, the cognizant contracting officer shall submit a copy of the issuance to the DON Acquisition Integrity Office AIO within five days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“PGI 209.406-3 - Poor Performance Referral."</w:t>
      </w:r>
    </w:p>
    <w:p>
      <w:pPr>
        <w:pBdr>
          <w:top w:space="5"/>
          <w:left w:space="5"/>
          <w:bottom w:space="5"/>
          <w:right w:space="5"/>
        </w:pBdr>
        <w:spacing w:after="0"/>
        <w:ind w:left="225"/>
        <w:jc w:val="left"/>
      </w:pPr>
      <w:r>
        <w:rPr>
          <w:rFonts w:ascii="Times New Roman" w:hAnsi="Times New Roman"/>
          <w:b w:val="false"/>
          <w:i w:val="false"/>
          <w:color w:val="000000"/>
          <w:sz w:val="22"/>
        </w:rPr>
        <w:t>(iv)(E) The summary shall also include comments regarding the U.S. Attorney’s positions on release of any investigative reports included in the report.</w:t>
      </w:r>
    </w:p>
    <w:p>
      <w:pPr>
        <w:pBdr>
          <w:top w:space="5"/>
          <w:left w:space="5"/>
          <w:bottom w:space="5"/>
          <w:right w:space="5"/>
        </w:pBdr>
        <w:spacing w:after="0"/>
        <w:ind w:left="225"/>
        <w:jc w:val="left"/>
      </w:pPr>
      <w:r>
        <w:rPr>
          <w:rFonts w:ascii="Times New Roman" w:hAnsi="Times New Roman"/>
          <w:b w:val="false"/>
          <w:i w:val="false"/>
          <w:color w:val="000000"/>
          <w:sz w:val="22"/>
        </w:rPr>
        <w:t>(S-90)(i) If Government employees are implicated in the underlying conduct that led to the referral, the names and current addresses of the employees, disciplinary action taken and the current employment status of each individual.</w:t>
      </w:r>
    </w:p>
    <w:p>
      <w:pPr>
        <w:pBdr>
          <w:top w:space="5"/>
          <w:left w:space="5"/>
          <w:bottom w:space="5"/>
          <w:right w:space="5"/>
        </w:pBdr>
        <w:spacing w:after="0"/>
        <w:ind w:left="585"/>
        <w:jc w:val="left"/>
      </w:pPr>
      <w:r>
        <w:rPr>
          <w:rFonts w:ascii="Times New Roman" w:hAnsi="Times New Roman"/>
          <w:b w:val="false"/>
          <w:i w:val="false"/>
          <w:color w:val="000000"/>
          <w:sz w:val="22"/>
        </w:rPr>
        <w:t>(ii)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aio@nav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