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**ID__NMCARS_5212.403__ID**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5212.403</w:t>
      </w:r>
      <w:r>
        <w:rPr>
          <w:rFonts w:ascii="Times New Roman" w:hAnsi="Times New Roman"/>
          <w:color w:val="000000"/>
          <w:sz w:val="31"/>
        </w:rPr>
        <w:t xml:space="preserve"> 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(c)(4) </w:t>
      </w:r>
      <w:r>
        <w:rPr>
          <w:rFonts w:ascii="Times New Roman" w:hAnsi="Times New Roman"/>
          <w:b w:val="false"/>
          <w:i/>
          <w:color w:val="000000"/>
          <w:sz w:val="22"/>
        </w:rPr>
        <w:t>Termination for cause.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Within five (5) calendar days after issuing the notice of the termination or a change in termination status, submit a copy of the FAPIIS entry required by FAR 42.1503(h)(1)(iii), including changes in status of terminations, to the AGC (AI)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aio@navy.mil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“FAR 12.403(c)(4) – Termination for Cause” followed by the contract number”.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io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