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**ID__NMCARS_5215.303__ID**</w:t>
      </w:r>
    </w:p>
    <w:p>
      <w:pPr>
        <w:pStyle w:val="Heading3"/>
        <w:spacing w:after="199"/>
        <w:ind w:left="120"/>
        <w:jc w:val="left"/>
      </w:pPr>
      <w:r>
        <w:rPr>
          <w:rFonts w:ascii="Times New Roman" w:hAnsi="Times New Roman"/>
          <w:color w:val="000000"/>
          <w:sz w:val="31"/>
        </w:rPr>
        <w:t>5215.303</w:t>
      </w:r>
      <w:r>
        <w:rPr>
          <w:rFonts w:ascii="Times New Roman" w:hAnsi="Times New Roman"/>
          <w:color w:val="000000"/>
          <w:sz w:val="31"/>
        </w:rPr>
        <w:t xml:space="preserve"> Responsibilities.</w:t>
      </w:r>
    </w:p>
    <w:p>
      <w:pPr>
        <w:pBdr>
          <w:top w:space="5"/>
          <w:left w:space="5"/>
          <w:bottom w:space="5"/>
          <w:right w:space="5"/>
        </w:pBdr>
        <w:spacing w:after="0"/>
        <w:ind w:left="225"/>
        <w:jc w:val="left"/>
      </w:pPr>
      <w:r>
        <w:rPr>
          <w:rFonts w:ascii="Times New Roman" w:hAnsi="Times New Roman"/>
          <w:b w:val="false"/>
          <w:i w:val="false"/>
          <w:color w:val="000000"/>
          <w:sz w:val="22"/>
        </w:rPr>
        <w:t>(a) When it is appropriate to have someone other than the contracting officer act as Source Selection Authority (SSA) for reasons of high dollar value, mission importance or political visibility, the HCA (or PEO, for PEO-assigned efforts) may designate an alternate individual to be</w:t>
      </w:r>
    </w:p>
    <w:p>
      <w:pPr>
        <w:pBdr>
          <w:top w:space="5"/>
          <w:left w:space="5"/>
          <w:bottom w:space="5"/>
          <w:right w:space="5"/>
        </w:pBdr>
        <w:spacing w:after="0"/>
        <w:ind w:left="225"/>
        <w:jc w:val="left"/>
      </w:pPr>
      <w:r>
        <w:rPr>
          <w:rFonts w:ascii="Times New Roman" w:hAnsi="Times New Roman"/>
          <w:b w:val="false"/>
          <w:i w:val="false"/>
          <w:color w:val="000000"/>
          <w:sz w:val="22"/>
        </w:rPr>
        <w:t>the SSA.</w:t>
      </w:r>
    </w:p>
    <w:p>
      <w:pPr>
        <w:pBdr>
          <w:top w:space="5"/>
          <w:left w:space="5"/>
          <w:bottom w:space="5"/>
          <w:right w:space="5"/>
        </w:pBdr>
        <w:spacing w:after="0"/>
        <w:ind w:left="225"/>
        <w:jc w:val="left"/>
      </w:pPr>
      <w:r>
        <w:rPr>
          <w:rFonts w:ascii="Times New Roman" w:hAnsi="Times New Roman"/>
          <w:b w:val="false"/>
          <w:i w:val="false"/>
          <w:color w:val="000000"/>
          <w:sz w:val="22"/>
        </w:rPr>
        <w:t>(S-90) The SSA policies below apply only to competitively negotiated acquisitions covering the selection of one or more prime development and or production contractors (including materiel solution analysis or the initiation of preliminary, contract, or detailed design for ship development and acquisition programs) as described in SECNAVINST 5000.2 series; and, to other competitively negotiated acquisitions approved in advance by the assigned PEO, SYSCOM commander, or DRPM; or the head of the contracting activity.</w:t>
      </w:r>
    </w:p>
    <w:p>
      <w:pPr>
        <w:pBdr>
          <w:top w:space="5"/>
          <w:left w:space="5"/>
          <w:bottom w:space="5"/>
          <w:right w:space="5"/>
        </w:pBdr>
        <w:spacing w:after="0"/>
        <w:ind w:left="585"/>
        <w:jc w:val="left"/>
      </w:pPr>
      <w:r>
        <w:rPr>
          <w:rFonts w:ascii="Times New Roman" w:hAnsi="Times New Roman"/>
          <w:b w:val="false"/>
          <w:i w:val="false"/>
          <w:color w:val="000000"/>
          <w:sz w:val="22"/>
        </w:rPr>
        <w:t>(a) ASN(RDA) for assigned ACAT IA programs, and PEOs, SYSCOM commanders, and DRPMs for their assigned ACAT I, IA, and II programs, shall be the SSA, unless otherwise specified by the USD(AT&amp;L), DON CIO for ACAT IA programs, SECNAV, or ASN(RDA). The ACAT I SSA responsibility may not be further delegated. The ACAT IA SSA responsibility may be delegated. The ACAT II SSA responsibility may be delegated to an individual who:</w:t>
      </w:r>
    </w:p>
    <w:p>
      <w:pPr>
        <w:numPr>
          <w:ilvl w:val="0"/>
          <w:numId w:val="1"/>
        </w:numPr>
        <w:spacing w:after="0"/>
        <w:jc w:val="left"/>
      </w:pPr>
      <w:r>
        <w:rPr>
          <w:rFonts w:ascii="Times New Roman" w:hAnsi="Times New Roman"/>
          <w:b w:val="false"/>
          <w:i w:val="false"/>
          <w:color w:val="000000"/>
          <w:sz w:val="22"/>
        </w:rPr>
        <w:t>**ID__mCkUrs__ID**</w:t>
      </w:r>
      <w:r>
        <w:rPr>
          <w:rFonts w:ascii="Times New Roman" w:hAnsi="Times New Roman"/>
          <w:b w:val="false"/>
          <w:i w:val="false"/>
          <w:color w:val="000000"/>
          <w:sz w:val="22"/>
        </w:rPr>
        <w:t xml:space="preserve"> </w:t>
      </w:r>
      <w:r>
        <w:rPr>
          <w:rFonts w:ascii="Times New Roman" w:hAnsi="Times New Roman"/>
          <w:b w:val="false"/>
          <w:i w:val="false"/>
          <w:color w:val="000000"/>
          <w:sz w:val="22"/>
        </w:rPr>
        <w:t>(1)</w:t>
      </w:r>
      <w:r>
        <w:rPr>
          <w:rFonts w:ascii="Times New Roman" w:hAnsi="Times New Roman"/>
          <w:b w:val="false"/>
          <w:i w:val="false"/>
          <w:color w:val="000000"/>
          <w:sz w:val="22"/>
        </w:rPr>
        <w:t xml:space="preserve"> If a member of the armed forces, is a flag or general officer; or</w:t>
      </w:r>
    </w:p>
    <w:p>
      <w:pPr>
        <w:numPr>
          <w:ilvl w:val="0"/>
          <w:numId w:val="1"/>
        </w:numPr>
        <w:spacing w:after="0"/>
        <w:jc w:val="left"/>
      </w:pPr>
      <w:r>
        <w:rPr>
          <w:rFonts w:ascii="Times New Roman" w:hAnsi="Times New Roman"/>
          <w:b w:val="false"/>
          <w:i w:val="false"/>
          <w:color w:val="000000"/>
          <w:sz w:val="22"/>
        </w:rPr>
        <w:t>**ID__p__Toc350495275__ID**</w:t>
      </w:r>
      <w:r>
        <w:rPr>
          <w:rFonts w:ascii="Times New Roman" w:hAnsi="Times New Roman"/>
          <w:b w:val="false"/>
          <w:i w:val="false"/>
          <w:color w:val="000000"/>
          <w:sz w:val="22"/>
        </w:rPr>
        <w:t xml:space="preserve"> </w:t>
      </w:r>
      <w:r>
        <w:rPr>
          <w:rFonts w:ascii="Times New Roman" w:hAnsi="Times New Roman"/>
          <w:b w:val="false"/>
          <w:i w:val="false"/>
          <w:color w:val="000000"/>
          <w:sz w:val="22"/>
        </w:rPr>
        <w:t>(2)</w:t>
      </w:r>
      <w:r>
        <w:rPr>
          <w:rFonts w:ascii="Times New Roman" w:hAnsi="Times New Roman"/>
          <w:b w:val="false"/>
          <w:i w:val="false"/>
          <w:color w:val="000000"/>
          <w:sz w:val="22"/>
        </w:rPr>
        <w:t xml:space="preserve"> If a civilian, is a member of the SES (or in a comparable or higher position under another schedule).</w:t>
      </w:r>
    </w:p>
    <w:p>
      <w:pPr>
        <w:pBdr>
          <w:top w:space="5"/>
          <w:left w:space="5"/>
          <w:bottom w:space="5"/>
          <w:right w:space="5"/>
        </w:pBdr>
        <w:spacing w:after="0"/>
        <w:ind w:left="585"/>
        <w:jc w:val="left"/>
      </w:pPr>
      <w:r>
        <w:rPr>
          <w:rFonts w:ascii="Times New Roman" w:hAnsi="Times New Roman"/>
          <w:b w:val="false"/>
          <w:i w:val="false"/>
          <w:color w:val="000000"/>
          <w:sz w:val="22"/>
        </w:rPr>
        <w:t>(b) PEOs, SYSCOM commanders, and DRPMs for their assigned ACAT III, IV, and AAPs, and ASN(RDA) or designee for IT ACAT III, IVT, and AAPs not assigned to PEOs, SYSCOM commanders, and DRPMs, shall designate the SSA at the time approval is granted to use formal source selection procedures.</w:t>
      </w:r>
    </w:p>
    <w:p>
      <w:pPr>
        <w:pBdr>
          <w:top w:space="5"/>
          <w:left w:space="5"/>
          <w:bottom w:space="5"/>
          <w:right w:space="5"/>
        </w:pBdr>
        <w:spacing w:after="0"/>
        <w:ind w:left="585"/>
        <w:jc w:val="left"/>
      </w:pPr>
      <w:r>
        <w:rPr>
          <w:rFonts w:ascii="Times New Roman" w:hAnsi="Times New Roman"/>
          <w:b w:val="false"/>
          <w:i w:val="false"/>
          <w:color w:val="000000"/>
          <w:sz w:val="22"/>
        </w:rPr>
        <w:t>(c) The SSA for other competitively negotiated acquisitions shall be as prescribed by the FAR, DFARS, or NMCARS, unless otherwise directed by ASN(RDA).</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