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5215.304</w:t>
      </w:r>
      <w:r>
        <w:rPr>
          <w:rFonts w:ascii="Times New Roman" w:hAnsi="Times New Roman"/>
          <w:color w:val="000000"/>
          <w:sz w:val="31"/>
        </w:rPr>
        <w:t xml:space="preserve"> Evaluation factors and significant subfactors.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 accordance with SECNAVINST 4101.3A, all acquisition programs with an energy-consuming end item shall ensure that the acquisition team considers energy in making tradeoff decisions and develops an evaluation factor (not sub-factor) for use in source selection.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