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**ID__NMCARS_5217.5022__ID**</w:t>
      </w:r>
    </w:p>
    <w:p>
      <w:pPr>
        <w:pStyle w:val="Heading4"/>
        <w:spacing w:after="269"/>
        <w:ind w:left="120"/>
        <w:jc w:val="left"/>
      </w:pPr>
      <w:r>
        <w:rPr>
          <w:rFonts w:ascii="Times New Roman" w:hAnsi="Times New Roman"/>
          <w:i w:val="false"/>
          <w:color w:val="000000"/>
          <w:sz w:val="24"/>
        </w:rPr>
        <w:t>5217.502-2</w:t>
      </w:r>
      <w:r>
        <w:rPr>
          <w:rFonts w:ascii="Times New Roman" w:hAnsi="Times New Roman"/>
          <w:i w:val="false"/>
          <w:color w:val="000000"/>
          <w:sz w:val="24"/>
        </w:rPr>
        <w:t xml:space="preserve"> The Economy Act.</w:t>
      </w:r>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(b) The following are examples of acquisitions that do not require Economy Act D&amp;Fs:</w:t>
      </w:r>
    </w:p>
    <w:p>
      <w:pPr>
        <w:pBdr>
          <w:top w:space="5"/>
          <w:left w:space="5"/>
          <w:bottom w:space="5"/>
          <w:right w:space="5"/>
        </w:pBdr>
        <w:spacing w:after="0"/>
        <w:ind w:left="585"/>
        <w:jc w:val="left"/>
      </w:pPr>
      <w:r>
        <w:rPr>
          <w:rFonts w:ascii="Times New Roman" w:hAnsi="Times New Roman"/>
          <w:b w:val="false"/>
          <w:i w:val="false"/>
          <w:color w:val="000000"/>
          <w:sz w:val="22"/>
        </w:rPr>
        <w:t>(1) Interagency acquisitions from the General Services Administration conducted under the authority of 40 U.S.C. Section 321, Acquisition Services Fund;</w:t>
      </w:r>
    </w:p>
    <w:p>
      <w:pPr>
        <w:pBdr>
          <w:top w:space="5"/>
          <w:left w:space="5"/>
          <w:bottom w:space="5"/>
          <w:right w:space="5"/>
        </w:pBdr>
        <w:spacing w:after="0"/>
        <w:ind w:left="585"/>
        <w:jc w:val="left"/>
      </w:pPr>
      <w:r>
        <w:rPr>
          <w:rFonts w:ascii="Times New Roman" w:hAnsi="Times New Roman"/>
          <w:b w:val="false"/>
          <w:i w:val="false"/>
          <w:color w:val="000000"/>
          <w:sz w:val="22"/>
        </w:rPr>
        <w:t>(2) Acquisitions conducted pursuant to DFARS Subpart 208.70, “Coordinated Acquisition”;</w:t>
      </w:r>
    </w:p>
    <w:p>
      <w:pPr>
        <w:pBdr>
          <w:top w:space="5"/>
          <w:left w:space="5"/>
          <w:bottom w:space="5"/>
          <w:right w:space="5"/>
        </w:pBdr>
        <w:spacing w:after="0"/>
        <w:ind w:left="585"/>
        <w:jc w:val="left"/>
      </w:pPr>
      <w:r>
        <w:rPr>
          <w:rFonts w:ascii="Times New Roman" w:hAnsi="Times New Roman"/>
          <w:b w:val="false"/>
          <w:i w:val="false"/>
          <w:color w:val="000000"/>
          <w:sz w:val="22"/>
        </w:rPr>
        <w:t>(3) Acquisitions conducted under the authority of the Project Order Act, 41 U.S.C. Section 23;</w:t>
      </w:r>
    </w:p>
    <w:p>
      <w:pPr>
        <w:pBdr>
          <w:top w:space="5"/>
          <w:left w:space="5"/>
          <w:bottom w:space="5"/>
          <w:right w:space="5"/>
        </w:pBdr>
        <w:spacing w:after="0"/>
        <w:ind w:left="585"/>
        <w:jc w:val="left"/>
      </w:pPr>
      <w:r>
        <w:rPr>
          <w:rFonts w:ascii="Times New Roman" w:hAnsi="Times New Roman"/>
          <w:b w:val="false"/>
          <w:i w:val="false"/>
          <w:color w:val="000000"/>
          <w:sz w:val="22"/>
        </w:rPr>
        <w:t>(4) Support agreements with another DOD component that comply with DODINST 4000.19, “Interservice and Intragovernmental Support”; and</w:t>
      </w:r>
    </w:p>
    <w:p>
      <w:pPr>
        <w:pBdr>
          <w:top w:space="5"/>
          <w:left w:space="5"/>
          <w:bottom w:space="5"/>
          <w:right w:space="5"/>
        </w:pBdr>
        <w:spacing w:after="0"/>
        <w:ind w:left="585"/>
        <w:jc w:val="left"/>
      </w:pPr>
      <w:r>
        <w:rPr>
          <w:rFonts w:ascii="Times New Roman" w:hAnsi="Times New Roman"/>
          <w:b w:val="false"/>
          <w:i w:val="false"/>
          <w:color w:val="000000"/>
          <w:sz w:val="22"/>
        </w:rPr>
        <w:t>(5) Interagency acquisitions from the Library of Congress conducted under the authority of Section 103 of P.L. 106-481 (2 U.S.C. 182c), FEDLINK Revolving Fund.</w:t>
      </w:r>
    </w:p>
    <w:p>
      <w:pPr>
        <w:pBdr>
          <w:top w:space="5"/>
          <w:left w:space="5"/>
          <w:bottom w:space="5"/>
          <w:right w:space="5"/>
        </w:pBdr>
        <w:spacing w:after="0"/>
        <w:ind w:left="225"/>
        <w:jc w:val="left"/>
      </w:pPr>
      <w:r>
        <w:rPr>
          <w:rFonts w:ascii="Times New Roman" w:hAnsi="Times New Roman"/>
          <w:b w:val="false"/>
          <w:i w:val="false"/>
          <w:color w:val="000000"/>
          <w:sz w:val="22"/>
        </w:rPr>
        <w:t>(c)(2) Except for the special circumstances and limitations specified below, the agency head’s designees for approving D&amp;Fs for interagency acquisitions are:</w:t>
      </w:r>
    </w:p>
    <w:p>
      <w:pPr>
        <w:pBdr>
          <w:top w:space="5"/>
          <w:left w:space="5"/>
          <w:bottom w:space="5"/>
          <w:right w:space="5"/>
        </w:pBdr>
        <w:spacing w:after="0"/>
        <w:ind w:left="945"/>
        <w:jc w:val="left"/>
      </w:pPr>
      <w:r>
        <w:rPr>
          <w:rFonts w:ascii="Times New Roman" w:hAnsi="Times New Roman"/>
          <w:b w:val="false"/>
          <w:i w:val="false"/>
          <w:color w:val="000000"/>
          <w:sz w:val="22"/>
        </w:rPr>
        <w:t>DASN(P)</w:t>
      </w:r>
    </w:p>
    <w:p>
      <w:pPr>
        <w:pBdr>
          <w:top w:space="5"/>
          <w:left w:space="5"/>
          <w:bottom w:space="5"/>
          <w:right w:space="5"/>
        </w:pBdr>
        <w:spacing w:after="0"/>
        <w:ind w:left="945"/>
        <w:jc w:val="left"/>
      </w:pPr>
      <w:r>
        <w:rPr>
          <w:rFonts w:ascii="Times New Roman" w:hAnsi="Times New Roman"/>
          <w:b w:val="false"/>
          <w:i w:val="false"/>
          <w:color w:val="000000"/>
          <w:sz w:val="22"/>
        </w:rPr>
        <w:t>Chief of Naval Research</w:t>
      </w:r>
    </w:p>
    <w:p>
      <w:pPr>
        <w:pBdr>
          <w:top w:space="5"/>
          <w:left w:space="5"/>
          <w:bottom w:space="5"/>
          <w:right w:space="5"/>
        </w:pBdr>
        <w:spacing w:after="0"/>
        <w:ind w:left="945"/>
        <w:jc w:val="left"/>
      </w:pPr>
      <w:r>
        <w:rPr>
          <w:rFonts w:ascii="Times New Roman" w:hAnsi="Times New Roman"/>
          <w:b w:val="false"/>
          <w:i w:val="false"/>
          <w:color w:val="000000"/>
          <w:sz w:val="22"/>
        </w:rPr>
        <w:t>Commander, Marine Corps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Military Sealift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Air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Facilities Engineering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Sea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Supply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Information Warfare Systems Command</w:t>
      </w:r>
    </w:p>
    <w:p>
      <w:pPr>
        <w:pBdr>
          <w:top w:space="5"/>
          <w:left w:space="5"/>
          <w:bottom w:space="5"/>
          <w:right w:space="5"/>
        </w:pBdr>
        <w:spacing w:after="0"/>
        <w:ind w:left="945"/>
        <w:jc w:val="left"/>
      </w:pPr>
      <w:r>
        <w:rPr>
          <w:rFonts w:ascii="Times New Roman" w:hAnsi="Times New Roman"/>
          <w:b w:val="false"/>
          <w:i w:val="false"/>
          <w:color w:val="000000"/>
          <w:sz w:val="22"/>
        </w:rPr>
        <w:t>Director, Strategic Systems Programs</w:t>
      </w:r>
    </w:p>
    <w:p>
      <w:pPr>
        <w:pBdr>
          <w:top w:space="5"/>
          <w:left w:space="5"/>
          <w:bottom w:space="5"/>
          <w:right w:space="5"/>
        </w:pBdr>
        <w:spacing w:after="0"/>
        <w:ind w:left="945"/>
        <w:jc w:val="left"/>
      </w:pPr>
      <w:r>
        <w:rPr>
          <w:rFonts w:ascii="Times New Roman" w:hAnsi="Times New Roman"/>
          <w:b w:val="false"/>
          <w:i w:val="false"/>
          <w:color w:val="000000"/>
          <w:sz w:val="22"/>
        </w:rPr>
        <w:t>Deputy Commandant for Installations and Logistics, Headquarters, Marine Corps</w:t>
      </w:r>
    </w:p>
    <w:p>
      <w:pPr>
        <w:pBdr>
          <w:top w:space="5"/>
          <w:left w:space="5"/>
          <w:bottom w:space="5"/>
          <w:right w:space="5"/>
        </w:pBdr>
        <w:spacing w:after="0"/>
        <w:ind w:left="945"/>
        <w:jc w:val="left"/>
      </w:pPr>
      <w:r>
        <w:rPr>
          <w:rFonts w:ascii="Times New Roman" w:hAnsi="Times New Roman"/>
          <w:b w:val="false"/>
          <w:i w:val="false"/>
          <w:color w:val="000000"/>
          <w:sz w:val="22"/>
        </w:rPr>
        <w:t>(i) For assisted acquisitions to non-DOD activities that require contracting action on the part of the servicing agency, comply with approval requirements in 5217.770.</w:t>
      </w:r>
    </w:p>
    <w:p>
      <w:pPr>
        <w:pBdr>
          <w:top w:space="5"/>
          <w:left w:space="5"/>
          <w:bottom w:space="5"/>
          <w:right w:space="5"/>
        </w:pBdr>
        <w:spacing w:after="0"/>
        <w:ind w:left="945"/>
        <w:jc w:val="left"/>
      </w:pPr>
      <w:r>
        <w:rPr>
          <w:rFonts w:ascii="Times New Roman" w:hAnsi="Times New Roman"/>
          <w:b w:val="false"/>
          <w:i w:val="false"/>
          <w:color w:val="000000"/>
          <w:sz w:val="22"/>
        </w:rPr>
        <w:t>(ii) Special Circumstances and Limitations</w:t>
      </w:r>
    </w:p>
    <w:p>
      <w:pPr>
        <w:pBdr>
          <w:top w:space="5"/>
          <w:left w:space="5"/>
          <w:bottom w:space="5"/>
          <w:right w:space="5"/>
        </w:pBdr>
        <w:spacing w:after="0"/>
        <w:ind w:left="1305"/>
        <w:jc w:val="left"/>
      </w:pPr>
      <w:r>
        <w:rPr>
          <w:rFonts w:ascii="Times New Roman" w:hAnsi="Times New Roman"/>
          <w:b w:val="false"/>
          <w:i w:val="false"/>
          <w:color w:val="000000"/>
          <w:sz w:val="22"/>
        </w:rPr>
        <w:t>(A) Special Circumstances.</w:t>
      </w:r>
    </w:p>
    <w:p>
      <w:pPr>
        <w:pBdr>
          <w:top w:space="5"/>
          <w:left w:space="5"/>
          <w:bottom w:space="5"/>
          <w:right w:space="5"/>
        </w:pBdr>
        <w:spacing w:after="0"/>
        <w:ind w:left="1665"/>
        <w:jc w:val="left"/>
      </w:pPr>
      <w:r>
        <w:rPr>
          <w:rFonts w:ascii="Times New Roman" w:hAnsi="Times New Roman"/>
          <w:b w:val="false"/>
          <w:i w:val="false"/>
          <w:color w:val="000000"/>
          <w:sz w:val="22"/>
        </w:rPr>
        <w:t xml:space="preserve">(1) Approval authority for Economy Act orders that require a contracting action on the part of the Department of Transportation’s Volpe Laboratories is not delegated. The Agency head’s designee to approve D&amp;Fs for these Economy Act orders is DASN(P). Submit D&amp;Fs for approval with a copy of the approved AS, STRAP, or MOPAS-S to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5217.502(c)(2)(ii)(A)(1) – DOT Volpe Lab Determination.”</w:t>
      </w:r>
    </w:p>
    <w:p>
      <w:pPr>
        <w:pBdr>
          <w:top w:space="5"/>
          <w:left w:space="5"/>
          <w:bottom w:space="5"/>
          <w:right w:space="5"/>
        </w:pBdr>
        <w:spacing w:after="0"/>
        <w:ind w:left="1665"/>
        <w:jc w:val="left"/>
      </w:pPr>
      <w:r>
        <w:rPr>
          <w:rFonts w:ascii="Times New Roman" w:hAnsi="Times New Roman"/>
          <w:b w:val="false"/>
          <w:i w:val="false"/>
          <w:color w:val="000000"/>
          <w:sz w:val="22"/>
        </w:rPr>
        <w:t>(2) HCAs will enter into and administer all DOD Work For Others (WFO) projects performed at the Department of Energy (DOE) facilities in accordance with the DOE/DOD MOA except as the DPC guidance allows for amendment.</w:t>
      </w:r>
    </w:p>
    <w:p>
      <w:pPr>
        <w:pBdr>
          <w:top w:space="5"/>
          <w:left w:space="5"/>
          <w:bottom w:space="5"/>
          <w:right w:space="5"/>
        </w:pBdr>
        <w:spacing w:after="0"/>
        <w:ind w:left="1665"/>
        <w:jc w:val="left"/>
      </w:pPr>
      <w:r>
        <w:rPr>
          <w:rFonts w:ascii="Times New Roman" w:hAnsi="Times New Roman"/>
          <w:b w:val="false"/>
          <w:i w:val="false"/>
          <w:color w:val="000000"/>
          <w:sz w:val="22"/>
        </w:rPr>
        <w:t>(3) HCAs shall conduct an annual compliance assessment of DOE WFO orders.</w:t>
      </w:r>
    </w:p>
    <w:p>
      <w:pPr>
        <w:pBdr>
          <w:top w:space="5"/>
          <w:left w:space="5"/>
          <w:bottom w:space="5"/>
          <w:right w:space="5"/>
        </w:pBdr>
        <w:spacing w:after="0"/>
        <w:ind w:left="1665"/>
        <w:jc w:val="left"/>
      </w:pPr>
      <w:r>
        <w:rPr>
          <w:rFonts w:ascii="Times New Roman" w:hAnsi="Times New Roman"/>
          <w:b w:val="false"/>
          <w:i w:val="false"/>
          <w:color w:val="000000"/>
          <w:sz w:val="22"/>
        </w:rPr>
        <w:t xml:space="preserve">Submit the assessment results by December 15 to DASN(P) by email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17.502-2 – Annual DOE WFO Order Compliance Assessment”.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Limitations. Approval authority of D&amp;Fs for Interagency Economy Act orders that will result in a contracting action executed by an agency not subject to the FAR (e.g. the Central Intelligence Agency, Tennessee Valley Authority, United States Postal Service, Federal Aviation Administration, and Library of Congress), is limited to the NSPE, without power of redelegation. Submit D&amp;Fs for approval with a copy of the approved AS, STRAP, or MOPAS-S to DASN(P) by email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Interagency Economy Act orders by Agency not Subject to FAR.”</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Documentation</w:t>
      </w:r>
      <w:r>
        <w:rPr>
          <w:rFonts w:ascii="Times New Roman" w:hAnsi="Times New Roman"/>
          <w:b w:val="false"/>
          <w:i w:val="false"/>
          <w:color w:val="000000"/>
          <w:sz w:val="22"/>
        </w:rPr>
        <w:t>. Files of approved orders, including supporting documentation, shall be maintained at a single location within each activity delegated approval authority.</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 TargetMode="External" Target="mailto:Rdaj&amp;as.fct@navy.mil" Type="http://schemas.openxmlformats.org/officeDocument/2006/relationships/hyperlink" Id="rId5"/>
    <Relationship TargetMode="External" Target="mailto:Rdaj&amp;as.fct@navy.mil"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