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**ID__NMCARS_5219.8041__ID**</w:t>
      </w:r>
    </w:p>
    <w:p>
      <w:pPr>
        <w:pStyle w:val="Heading4"/>
        <w:spacing w:after="269"/>
        <w:ind w:left="120"/>
        <w:jc w:val="left"/>
      </w:pPr>
      <w:r>
        <w:rPr>
          <w:rFonts w:ascii="Times New Roman" w:hAnsi="Times New Roman"/>
          <w:i w:val="false"/>
          <w:color w:val="000000"/>
          <w:sz w:val="24"/>
        </w:rPr>
        <w:t>5219.804-1</w:t>
      </w:r>
      <w:r>
        <w:rPr>
          <w:rFonts w:ascii="Times New Roman" w:hAnsi="Times New Roman"/>
          <w:i w:val="false"/>
          <w:color w:val="000000"/>
          <w:sz w:val="24"/>
        </w:rPr>
        <w:t xml:space="preserve"> Agency evaluation.</w:t>
      </w:r>
    </w:p>
    <w:p>
      <w:pPr>
        <w:pBdr>
          <w:top w:space="5"/>
          <w:left w:space="5"/>
          <w:bottom w:space="5"/>
          <w:right w:space="5"/>
        </w:pBdr>
        <w:spacing w:after="0"/>
        <w:ind w:left="225"/>
        <w:jc w:val="left"/>
      </w:pPr>
      <w:r>
        <w:rPr>
          <w:rFonts w:ascii="Times New Roman" w:hAnsi="Times New Roman"/>
          <w:b w:val="false"/>
          <w:i w:val="false"/>
          <w:color w:val="000000"/>
          <w:sz w:val="22"/>
        </w:rPr>
        <w:t>(f) Agency reviews, in addition to the factors in FAR 19.803(a), may take the form of a technical presentation or should be structured in a manner that affords an exchange of information between the 8(a) firm and the contracting activity that will provide the 8(a) firm an adequate opportunity to demonstrate its capability and capacity to perform the requirement. For sole source 8(a) contracts, SBA regulations preclude the use of formal technical evaluations. Contracting officers, however, may conduct informal assessments of several 8(a) firms' capabilities to perform a specific requirement.</w:t>
      </w:r>
    </w:p>
    <w:p>
      <w:pPr>
        <w:pBdr>
          <w:top w:space="5"/>
          <w:left w:space="5"/>
          <w:bottom w:space="5"/>
          <w:right w:space="5"/>
        </w:pBdr>
        <w:spacing w:after="0"/>
        <w:ind w:left="225"/>
        <w:jc w:val="left"/>
      </w:pPr>
      <w:r>
        <w:rPr>
          <w:rFonts w:ascii="Times New Roman" w:hAnsi="Times New Roman"/>
          <w:b w:val="false"/>
          <w:i w:val="false"/>
          <w:color w:val="000000"/>
          <w:sz w:val="22"/>
        </w:rPr>
        <w:t>(S-90) When a lack of capability or capacity forms the basis for declination responses to SBA, such responses shall discuss factors such as the 8(a) contractor candidate's:</w:t>
      </w:r>
    </w:p>
    <w:p>
      <w:pPr>
        <w:pBdr>
          <w:top w:space="5"/>
          <w:left w:space="5"/>
          <w:bottom w:space="5"/>
          <w:right w:space="5"/>
        </w:pBdr>
        <w:spacing w:after="0"/>
        <w:ind w:left="585"/>
        <w:jc w:val="left"/>
      </w:pPr>
      <w:r>
        <w:rPr>
          <w:rFonts w:ascii="Times New Roman" w:hAnsi="Times New Roman"/>
          <w:b w:val="false"/>
          <w:i w:val="false"/>
          <w:color w:val="000000"/>
          <w:sz w:val="22"/>
        </w:rPr>
        <w:t>(1) lack of knowledge and understanding of the work to be performed;</w:t>
      </w:r>
    </w:p>
    <w:p>
      <w:pPr>
        <w:pBdr>
          <w:top w:space="5"/>
          <w:left w:space="5"/>
          <w:bottom w:space="5"/>
          <w:right w:space="5"/>
        </w:pBdr>
        <w:spacing w:after="0"/>
        <w:ind w:left="585"/>
        <w:jc w:val="left"/>
      </w:pPr>
      <w:r>
        <w:rPr>
          <w:rFonts w:ascii="Times New Roman" w:hAnsi="Times New Roman"/>
          <w:b w:val="false"/>
          <w:i w:val="false"/>
          <w:color w:val="000000"/>
          <w:sz w:val="22"/>
        </w:rPr>
        <w:t>(2) lack of experience in performing requirements of similar size and scope;</w:t>
      </w:r>
    </w:p>
    <w:p>
      <w:pPr>
        <w:pBdr>
          <w:top w:space="5"/>
          <w:left w:space="5"/>
          <w:bottom w:space="5"/>
          <w:right w:space="5"/>
        </w:pBdr>
        <w:spacing w:after="0"/>
        <w:ind w:left="585"/>
        <w:jc w:val="left"/>
      </w:pPr>
      <w:r>
        <w:rPr>
          <w:rFonts w:ascii="Times New Roman" w:hAnsi="Times New Roman"/>
          <w:b w:val="false"/>
          <w:i w:val="false"/>
          <w:color w:val="000000"/>
          <w:sz w:val="22"/>
        </w:rPr>
        <w:t>(3) lack of resources that are available (including contingent hires) or that must be acquired for contract performance;</w:t>
      </w:r>
    </w:p>
    <w:p>
      <w:pPr>
        <w:pBdr>
          <w:top w:space="5"/>
          <w:left w:space="5"/>
          <w:bottom w:space="5"/>
          <w:right w:space="5"/>
        </w:pBdr>
        <w:spacing w:after="0"/>
        <w:ind w:left="585"/>
        <w:jc w:val="left"/>
      </w:pPr>
      <w:r>
        <w:rPr>
          <w:rFonts w:ascii="Times New Roman" w:hAnsi="Times New Roman"/>
          <w:b w:val="false"/>
          <w:i w:val="false"/>
          <w:color w:val="000000"/>
          <w:sz w:val="22"/>
        </w:rPr>
        <w:t>(4) lack of ability to comply with subcontracting limitation provisions (see FAR clause 52.219-14);</w:t>
      </w:r>
    </w:p>
    <w:p>
      <w:pPr>
        <w:pBdr>
          <w:top w:space="5"/>
          <w:left w:space="5"/>
          <w:bottom w:space="5"/>
          <w:right w:space="5"/>
        </w:pBdr>
        <w:spacing w:after="0"/>
        <w:ind w:left="585"/>
        <w:jc w:val="left"/>
      </w:pPr>
      <w:r>
        <w:rPr>
          <w:rFonts w:ascii="Times New Roman" w:hAnsi="Times New Roman"/>
          <w:b w:val="false"/>
          <w:i w:val="false"/>
          <w:color w:val="000000"/>
          <w:sz w:val="22"/>
        </w:rPr>
        <w:t>(5) lack of ability to meet delivery schedules; and/or</w:t>
      </w:r>
    </w:p>
    <w:p>
      <w:pPr>
        <w:pBdr>
          <w:top w:space="5"/>
          <w:left w:space="5"/>
          <w:bottom w:space="5"/>
          <w:right w:space="5"/>
        </w:pBdr>
        <w:spacing w:after="0"/>
        <w:ind w:left="585"/>
        <w:jc w:val="left"/>
      </w:pPr>
      <w:r>
        <w:rPr>
          <w:rFonts w:ascii="Times New Roman" w:hAnsi="Times New Roman"/>
          <w:b w:val="false"/>
          <w:i w:val="false"/>
          <w:color w:val="000000"/>
          <w:sz w:val="22"/>
        </w:rPr>
        <w:t>(6) deficiencies in record of performance.</w:t>
      </w:r>
    </w:p>
    <w:p>
      <w:pPr>
        <w:pBdr>
          <w:top w:space="5"/>
          <w:left w:space="5"/>
          <w:bottom w:space="5"/>
          <w:right w:space="5"/>
        </w:pBdr>
        <w:spacing w:after="0"/>
        <w:ind w:left="225"/>
        <w:jc w:val="left"/>
      </w:pPr>
      <w:r>
        <w:rPr>
          <w:rFonts w:ascii="Times New Roman" w:hAnsi="Times New Roman"/>
          <w:b w:val="false"/>
          <w:i w:val="false"/>
          <w:color w:val="000000"/>
          <w:sz w:val="22"/>
        </w:rPr>
        <w:t>Contracting activities shall provide a copy of all 8(a) program declination letters to the Director, OSBP concurrent with submission to SBA. Declination letters are subject to direct appeal by the SBA Administrator to the Secretary of the Navy (see FAR 19.810). Contracting officers should coordinate such declinations with the activity small business specialist or the CCO.</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