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**ID__NMCARS_5225.103__ID**</w:t>
      </w:r>
    </w:p>
    <w:p>
      <w:pPr>
        <w:pStyle w:val="Heading3"/>
        <w:spacing w:after="199"/>
        <w:ind w:left="120"/>
        <w:jc w:val="left"/>
      </w:pPr>
      <w:r>
        <w:rPr>
          <w:rFonts w:ascii="Times New Roman" w:hAnsi="Times New Roman"/>
          <w:color w:val="000000"/>
          <w:sz w:val="31"/>
        </w:rPr>
        <w:t>5225.103</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Rdaj&amp;as.fct@navy.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