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**ID__NMCARS_5225.80290__ID**</w:t>
      </w:r>
    </w:p>
    <w:p>
      <w:pPr>
        <w:pStyle w:val="Heading4"/>
        <w:spacing w:after="269"/>
        <w:ind w:left="120"/>
        <w:jc w:val="left"/>
      </w:pPr>
      <w:r>
        <w:rPr>
          <w:rFonts w:ascii="Times New Roman" w:hAnsi="Times New Roman"/>
          <w:i w:val="false"/>
          <w:color w:val="000000"/>
          <w:sz w:val="24"/>
        </w:rPr>
        <w:t>5225.802-90</w:t>
      </w:r>
      <w:r>
        <w:rPr>
          <w:rFonts w:ascii="Times New Roman" w:hAnsi="Times New Roman"/>
          <w:i w:val="false"/>
          <w:color w:val="000000"/>
          <w:sz w:val="24"/>
        </w:rPr>
        <w:t xml:space="preserve"> Procedures for acquisitions that can be satisfied only by sources outside the United States.</w:t>
      </w:r>
    </w:p>
    <w:p>
      <w:pPr>
        <w:pBdr>
          <w:top w:space="5"/>
          <w:left w:space="5"/>
          <w:bottom w:space="5"/>
          <w:right w:space="5"/>
        </w:pBdr>
        <w:spacing w:after="0"/>
        <w:ind w:left="225"/>
        <w:jc w:val="left"/>
      </w:pPr>
      <w:r>
        <w:rPr>
          <w:rFonts w:ascii="Times New Roman" w:hAnsi="Times New Roman"/>
          <w:b w:val="false"/>
          <w:i w:val="false"/>
          <w:color w:val="000000"/>
          <w:sz w:val="22"/>
        </w:rPr>
        <w:t>(a)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Exceptions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following are exceptions to paragraph (a) above:</w:t>
      </w:r>
    </w:p>
    <w:p>
      <w:pPr>
        <w:pBdr>
          <w:top w:space="5"/>
          <w:left w:space="5"/>
          <w:bottom w:space="5"/>
          <w:right w:space="5"/>
        </w:pBdr>
        <w:spacing w:after="0"/>
        <w:ind w:left="945"/>
        <w:jc w:val="left"/>
      </w:pPr>
      <w:r>
        <w:rPr>
          <w:rFonts w:ascii="Times New Roman" w:hAnsi="Times New Roman"/>
          <w:b w:val="false"/>
          <w:i w:val="false"/>
          <w:color w:val="000000"/>
          <w:sz w:val="22"/>
        </w:rPr>
        <w:t>(i) Contracts for complete vessels or aircraft.</w:t>
      </w:r>
    </w:p>
    <w:p>
      <w:pPr>
        <w:pBdr>
          <w:top w:space="5"/>
          <w:left w:space="5"/>
          <w:bottom w:space="5"/>
          <w:right w:space="5"/>
        </w:pBdr>
        <w:spacing w:after="0"/>
        <w:ind w:left="945"/>
        <w:jc w:val="left"/>
      </w:pPr>
      <w:r>
        <w:rPr>
          <w:rFonts w:ascii="Times New Roman" w:hAnsi="Times New Roman"/>
          <w:b w:val="false"/>
          <w:i w:val="false"/>
          <w:color w:val="000000"/>
          <w:sz w:val="22"/>
        </w:rPr>
        <w:t>(ii) Contracts for equipment requiring servicing by representatives of foreign companies.</w:t>
      </w:r>
    </w:p>
    <w:p>
      <w:pPr>
        <w:pBdr>
          <w:top w:space="5"/>
          <w:left w:space="5"/>
          <w:bottom w:space="5"/>
          <w:right w:space="5"/>
        </w:pBdr>
        <w:spacing w:after="0"/>
        <w:ind w:left="945"/>
        <w:jc w:val="left"/>
      </w:pPr>
      <w:r>
        <w:rPr>
          <w:rFonts w:ascii="Times New Roman" w:hAnsi="Times New Roman"/>
          <w:b w:val="false"/>
          <w:i w:val="false"/>
          <w:color w:val="000000"/>
          <w:sz w:val="22"/>
        </w:rPr>
        <w:t>(iii) Contracts within an activity's authorized purchase authority when material is readily available overseas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(iv) Other specific exceptions as may be granted by NAVSUPSYSCOM.</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utilizing any of the above exceptions, prior to negotiating with an overseas supplier, should contact the applicable FLC for assistance and support.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