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**ID__NMCARS_5201.6023__ID**</w:t>
      </w:r>
    </w:p>
    <w:p>
      <w:pPr>
        <w:pStyle w:val="Heading4"/>
        <w:spacing w:after="269"/>
        <w:ind w:left="120"/>
        <w:jc w:val="left"/>
      </w:pPr>
      <w:r>
        <w:rPr>
          <w:rFonts w:ascii="Times New Roman" w:hAnsi="Times New Roman"/>
          <w:i w:val="false"/>
          <w:color w:val="000000"/>
          <w:sz w:val="24"/>
        </w:rPr>
        <w:t>5201.602-3</w:t>
      </w:r>
      <w:r>
        <w:rPr>
          <w:rFonts w:ascii="Times New Roman" w:hAnsi="Times New Roman"/>
          <w:i w:val="false"/>
          <w:color w:val="000000"/>
          <w:sz w:val="24"/>
        </w:rPr>
        <w:t xml:space="preserve"> Ratification of unauthorized commitments.</w:t>
      </w:r>
    </w:p>
    <w:p>
      <w:pPr>
        <w:pBdr>
          <w:top w:space="5"/>
          <w:left w:space="5"/>
          <w:bottom w:space="5"/>
          <w:right w:space="5"/>
        </w:pBdr>
        <w:spacing w:after="0"/>
        <w:ind w:left="225"/>
        <w:jc w:val="left"/>
      </w:pPr>
      <w:r>
        <w:rPr>
          <w:rFonts w:ascii="Times New Roman" w:hAnsi="Times New Roman"/>
          <w:b w:val="false"/>
          <w:i w:val="false"/>
          <w:color w:val="000000"/>
          <w:sz w:val="22"/>
        </w:rPr>
        <w:t>(b)(1) Within 10 calendar days of determining the need for a ratification of an unauthorized commitment (UAC), the activity where the ratifiable action occurred shall report the UAC to its respective HCA in accordance with the Activity’s procedures.</w:t>
      </w:r>
    </w:p>
    <w:p>
      <w:pPr>
        <w:pBdr>
          <w:top w:space="5"/>
          <w:left w:space="5"/>
          <w:bottom w:space="5"/>
          <w:right w:space="5"/>
        </w:pBdr>
        <w:spacing w:after="0"/>
        <w:ind w:left="225"/>
        <w:jc w:val="left"/>
      </w:pPr>
      <w:r>
        <w:rPr>
          <w:rFonts w:ascii="Times New Roman" w:hAnsi="Times New Roman"/>
          <w:b w:val="false"/>
          <w:i w:val="false"/>
          <w:color w:val="000000"/>
          <w:sz w:val="22"/>
        </w:rPr>
        <w:t>(b)(3)(i) The HCA (or designee) may delegate ratification authority as follows:</w:t>
      </w:r>
    </w:p>
    <w:p>
      <w:pPr>
        <w:numPr>
          <w:ilvl w:val="0"/>
          <w:numId w:val="1"/>
        </w:numPr>
        <w:spacing w:after="0"/>
        <w:jc w:val="left"/>
      </w:pPr>
      <w:r>
        <w:rPr>
          <w:rFonts w:ascii="Times New Roman" w:hAnsi="Times New Roman"/>
          <w:b w:val="false"/>
          <w:i w:val="false"/>
          <w:color w:val="000000"/>
          <w:sz w:val="22"/>
        </w:rPr>
        <w:t>**ID__Feutlo__ID**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Actions valued at $50,000 or less - Not lower than the Activity CCO</w:t>
      </w:r>
    </w:p>
    <w:p>
      <w:pPr>
        <w:numPr>
          <w:ilvl w:val="0"/>
          <w:numId w:val="1"/>
        </w:numPr>
        <w:spacing w:after="0"/>
        <w:jc w:val="left"/>
      </w:pPr>
      <w:r>
        <w:rPr>
          <w:rFonts w:ascii="Times New Roman" w:hAnsi="Times New Roman"/>
          <w:b w:val="false"/>
          <w:i w:val="false"/>
          <w:color w:val="000000"/>
          <w:sz w:val="22"/>
        </w:rPr>
        <w:t>**ID__OZHIKv__ID**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Actions valued at $100,000 or less - Not lower than the Deputy/Assistant Commander for Contracts</w:t>
      </w:r>
    </w:p>
    <w:p>
      <w:pPr>
        <w:numPr>
          <w:ilvl w:val="0"/>
          <w:numId w:val="1"/>
        </w:numPr>
        <w:spacing w:after="0"/>
        <w:jc w:val="left"/>
      </w:pPr>
      <w:r>
        <w:rPr>
          <w:rFonts w:ascii="Times New Roman" w:hAnsi="Times New Roman"/>
          <w:b w:val="false"/>
          <w:i w:val="false"/>
          <w:color w:val="000000"/>
          <w:sz w:val="22"/>
        </w:rPr>
        <w:t>**ID__vCHkuw__ID**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Actions valued greater than $100,000 – HCA without power of delegation</w:t>
      </w:r>
    </w:p>
    <w:p>
      <w:pPr>
        <w:pBdr>
          <w:top w:space="5"/>
          <w:left w:space="5"/>
          <w:bottom w:space="5"/>
          <w:right w:space="5"/>
        </w:pBdr>
        <w:spacing w:after="0"/>
        <w:ind w:left="585"/>
        <w:jc w:val="left"/>
      </w:pPr>
      <w:r>
        <w:rPr>
          <w:rFonts w:ascii="Times New Roman" w:hAnsi="Times New Roman"/>
          <w:b w:val="false"/>
          <w:i w:val="false"/>
          <w:color w:val="000000"/>
          <w:sz w:val="22"/>
        </w:rPr>
        <w:t>(ii) The authority to ratify, at any level, reverts to the HCA without power of delegation if--</w:t>
      </w:r>
    </w:p>
    <w:p>
      <w:pPr>
        <w:pBdr>
          <w:top w:space="5"/>
          <w:left w:space="5"/>
          <w:bottom w:space="5"/>
          <w:right w:space="5"/>
        </w:pBdr>
        <w:spacing w:after="0"/>
        <w:ind w:left="945"/>
        <w:jc w:val="left"/>
      </w:pPr>
      <w:r>
        <w:rPr>
          <w:rFonts w:ascii="Times New Roman" w:hAnsi="Times New Roman"/>
          <w:b w:val="false"/>
          <w:i w:val="false"/>
          <w:color w:val="000000"/>
          <w:sz w:val="22"/>
        </w:rPr>
        <w:t>(A) For HCAs except NAVSUP: The HCA has 15 or more UACs exceeding the micro- purchase threshold for that FY.</w:t>
      </w:r>
    </w:p>
    <w:p>
      <w:pPr>
        <w:pBdr>
          <w:top w:space="5"/>
          <w:left w:space="5"/>
          <w:bottom w:space="5"/>
          <w:right w:space="5"/>
        </w:pBdr>
        <w:spacing w:after="0"/>
        <w:ind w:left="945"/>
        <w:jc w:val="left"/>
      </w:pPr>
      <w:r>
        <w:rPr>
          <w:rFonts w:ascii="Times New Roman" w:hAnsi="Times New Roman"/>
          <w:b w:val="false"/>
          <w:i w:val="false"/>
          <w:color w:val="000000"/>
          <w:sz w:val="22"/>
        </w:rPr>
        <w:t>**ID__mzLwGL__ID**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NAVSUP: A Budget Submitting Office (BSO) supported by NAVSUP has more than four (4) UACs exceeding the micro-purchase threshold in a FY. Authority for delegation of ratification authority is by BSO.</w:t>
      </w:r>
    </w:p>
    <w:p>
      <w:pPr>
        <w:pBdr>
          <w:top w:space="5"/>
          <w:left w:space="5"/>
          <w:bottom w:space="5"/>
          <w:right w:space="5"/>
        </w:pBdr>
        <w:spacing w:after="0"/>
        <w:ind w:left="945"/>
        <w:jc w:val="left"/>
      </w:pPr>
      <w:r>
        <w:rPr>
          <w:rFonts w:ascii="Times New Roman" w:hAnsi="Times New Roman"/>
          <w:b w:val="false"/>
          <w:i w:val="false"/>
          <w:color w:val="000000"/>
          <w:sz w:val="22"/>
        </w:rPr>
        <w:t>**ID__p__Toc221944277__ID**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When the person committing the UAC has made, or the contractor performing the UAC has submitted, a UAC at any point in the past.</w:t>
      </w:r>
    </w:p>
    <w:p>
      <w:pPr>
        <w:pBdr>
          <w:top w:space="5"/>
          <w:left w:space="5"/>
          <w:bottom w:space="5"/>
          <w:right w:space="5"/>
        </w:pBdr>
        <w:spacing w:after="0"/>
        <w:ind w:left="585"/>
        <w:jc w:val="left"/>
      </w:pPr>
      <w:r>
        <w:rPr>
          <w:rFonts w:ascii="Times New Roman" w:hAnsi="Times New Roman"/>
          <w:b w:val="false"/>
          <w:i w:val="false"/>
          <w:color w:val="000000"/>
          <w:sz w:val="22"/>
        </w:rPr>
        <w:t>(iii) For counting purposes, use the date that the ratifiable action occurred not the date of reporting.</w:t>
      </w:r>
    </w:p>
    <w:p>
      <w:pPr>
        <w:pBdr>
          <w:top w:space="5"/>
          <w:left w:space="5"/>
          <w:bottom w:space="5"/>
          <w:right w:space="5"/>
        </w:pBdr>
        <w:spacing w:after="0"/>
        <w:ind w:left="585"/>
        <w:jc w:val="left"/>
      </w:pPr>
      <w:r>
        <w:rPr>
          <w:rFonts w:ascii="Times New Roman" w:hAnsi="Times New Roman"/>
          <w:b w:val="false"/>
          <w:i w:val="false"/>
          <w:color w:val="000000"/>
          <w:sz w:val="22"/>
        </w:rPr>
        <w:t>(iv) The ability to delegate in accordance with (i) resets at the beginning of each FY.</w:t>
      </w:r>
    </w:p>
    <w:p>
      <w:pPr>
        <w:pBdr>
          <w:top w:space="5"/>
          <w:left w:space="5"/>
          <w:bottom w:space="5"/>
          <w:right w:space="5"/>
        </w:pBdr>
        <w:spacing w:after="0"/>
        <w:ind w:left="585"/>
        <w:jc w:val="left"/>
      </w:pPr>
      <w:r>
        <w:rPr>
          <w:rFonts w:ascii="Times New Roman" w:hAnsi="Times New Roman"/>
          <w:b w:val="false"/>
          <w:i w:val="false"/>
          <w:color w:val="000000"/>
          <w:sz w:val="22"/>
        </w:rPr>
        <w:t>(v) The HCA shall maintain records of all ratifications regardless of dollar value and review as part of its Procurement Performance Management Assessment Program (PPMAP) (see NMCARS 5201.691).</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DON</w:t>
      </w:r>
      <w:r>
        <w:rPr>
          <w:rFonts w:ascii="Times New Roman" w:hAnsi="Times New Roman"/>
          <w:b w:val="false"/>
          <w:i/>
          <w:color w:val="000000"/>
          <w:sz w:val="22"/>
        </w:rPr>
        <w:t>Policy</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HCAs shall establish procedures for ratification of UACs.</w:t>
      </w:r>
    </w:p>
    <w:p>
      <w:pPr>
        <w:pBdr>
          <w:top w:space="5"/>
          <w:left w:space="5"/>
          <w:bottom w:space="5"/>
          <w:right w:space="5"/>
        </w:pBdr>
        <w:spacing w:after="0"/>
        <w:ind w:left="585"/>
        <w:jc w:val="left"/>
      </w:pPr>
      <w:r>
        <w:rPr>
          <w:rFonts w:ascii="Times New Roman" w:hAnsi="Times New Roman"/>
          <w:b w:val="false"/>
          <w:i w:val="false"/>
          <w:color w:val="000000"/>
          <w:sz w:val="22"/>
        </w:rPr>
        <w:t>(b) When an activity receives a UAC that falls within another activity’s unique contracting authority (as defined in 5201.601-90), one of two actions is required to address the UAC:</w:t>
      </w:r>
    </w:p>
    <w:p>
      <w:pPr>
        <w:pBdr>
          <w:top w:space="5"/>
          <w:left w:space="5"/>
          <w:bottom w:space="5"/>
          <w:right w:space="5"/>
        </w:pBdr>
        <w:spacing w:after="0"/>
        <w:ind w:left="945"/>
        <w:jc w:val="left"/>
      </w:pPr>
      <w:r>
        <w:rPr>
          <w:rFonts w:ascii="Times New Roman" w:hAnsi="Times New Roman"/>
          <w:b w:val="false"/>
          <w:i w:val="false"/>
          <w:color w:val="000000"/>
          <w:sz w:val="22"/>
        </w:rPr>
        <w:t>(1) Authority may be requested from the HCA with the unique contracting authority to address the UAC and complete the ratification (if necessary); or,</w:t>
      </w:r>
    </w:p>
    <w:p>
      <w:pPr>
        <w:pBdr>
          <w:top w:space="5"/>
          <w:left w:space="5"/>
          <w:bottom w:space="5"/>
          <w:right w:space="5"/>
        </w:pBdr>
        <w:spacing w:after="0"/>
        <w:ind w:left="945"/>
        <w:jc w:val="left"/>
      </w:pPr>
      <w:r>
        <w:rPr>
          <w:rFonts w:ascii="Times New Roman" w:hAnsi="Times New Roman"/>
          <w:b w:val="false"/>
          <w:i w:val="false"/>
          <w:color w:val="000000"/>
          <w:sz w:val="22"/>
        </w:rPr>
        <w:t>(2) The HCA with unique contracting authority ratifies the UAC or determines it is not a ratifiable action. If ratification is necessary, a Military Interdepartmental Purchase Request (MIPR) shall be executed and funded by the activity to which the employee who committed the UAC belongs. This MIPR shall be provided to the activity with the unique contracting authority to complete the ratification.</w:t>
      </w:r>
    </w:p>
    <w:p>
      <w:pPr>
        <w:pBdr>
          <w:top w:space="5"/>
          <w:left w:space="5"/>
          <w:bottom w:space="5"/>
          <w:right w:space="5"/>
        </w:pBdr>
        <w:spacing w:after="0"/>
        <w:ind w:left="585"/>
        <w:jc w:val="left"/>
      </w:pPr>
      <w:r>
        <w:rPr>
          <w:rFonts w:ascii="Times New Roman" w:hAnsi="Times New Roman"/>
          <w:b w:val="false"/>
          <w:i w:val="false"/>
          <w:color w:val="000000"/>
          <w:sz w:val="22"/>
        </w:rPr>
        <w:t>(c) The ratifying official and the contracting officer on the ratified action shall not be the same individual.</w:t>
      </w:r>
    </w:p>
    <w:p>
      <w:pPr>
        <w:pBdr>
          <w:top w:space="5"/>
          <w:left w:space="5"/>
          <w:bottom w:space="5"/>
          <w:right w:space="5"/>
        </w:pBdr>
        <w:spacing w:after="0"/>
        <w:ind w:left="585"/>
        <w:jc w:val="left"/>
      </w:pPr>
      <w:r>
        <w:rPr>
          <w:rFonts w:ascii="Times New Roman" w:hAnsi="Times New Roman"/>
          <w:b w:val="false"/>
          <w:i w:val="false"/>
          <w:color w:val="000000"/>
          <w:sz w:val="22"/>
        </w:rPr>
        <w:t>(d) DASN(P) reserves the right to request copies of any documentation at any point in the process.</w:t>
      </w:r>
    </w:p>
    <w:p>
      <w:pPr>
        <w:pBdr>
          <w:top w:space="5"/>
          <w:left w:space="5"/>
          <w:bottom w:space="5"/>
          <w:right w:space="5"/>
        </w:pBdr>
        <w:spacing w:after="0"/>
        <w:ind w:left="585"/>
        <w:jc w:val="left"/>
      </w:pPr>
      <w:r>
        <w:rPr>
          <w:rFonts w:ascii="Times New Roman" w:hAnsi="Times New Roman"/>
          <w:b w:val="false"/>
          <w:i w:val="false"/>
          <w:color w:val="000000"/>
          <w:sz w:val="22"/>
        </w:rPr>
        <w:t>(e) Reporting.</w:t>
      </w:r>
    </w:p>
    <w:p>
      <w:pPr>
        <w:pBdr>
          <w:top w:space="5"/>
          <w:left w:space="5"/>
          <w:bottom w:space="5"/>
          <w:right w:space="5"/>
        </w:pBdr>
        <w:spacing w:after="0"/>
        <w:ind w:left="945"/>
        <w:jc w:val="left"/>
      </w:pPr>
      <w:r>
        <w:rPr>
          <w:rFonts w:ascii="Times New Roman" w:hAnsi="Times New Roman"/>
          <w:b w:val="false"/>
          <w:i w:val="false"/>
          <w:color w:val="000000"/>
          <w:sz w:val="22"/>
        </w:rPr>
        <w:t>(1) The activity executing the ratification is responsible for reporting.</w:t>
      </w:r>
    </w:p>
    <w:p>
      <w:pPr>
        <w:pBdr>
          <w:top w:space="5"/>
          <w:left w:space="5"/>
          <w:bottom w:space="5"/>
          <w:right w:space="5"/>
        </w:pBdr>
        <w:spacing w:after="0"/>
        <w:ind w:left="945"/>
        <w:jc w:val="left"/>
      </w:pPr>
      <w:r>
        <w:rPr>
          <w:rFonts w:ascii="Times New Roman" w:hAnsi="Times New Roman"/>
          <w:b w:val="false"/>
          <w:i w:val="false"/>
          <w:color w:val="000000"/>
          <w:sz w:val="22"/>
        </w:rPr>
        <w:t xml:space="preserve">(2) Submit a quarterly report of all UACs/ratifications exceeding the micro-purchase threshold, approved at a level no lower than the Deputy/Assistant Commander for Contracts, in the format prescribed in Annex 15 to DASN(P) by e-mail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“NMCARS 5201.602-3(S-90)(e)(2) – Quarterly Ratification Report”, by January 31, April 30, July 31 and October 31. Negative reports are required.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Policy@navy.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