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**ID__NMCARS_5228.30191__ID**</w:t>
      </w:r>
    </w:p>
    <w:p>
      <w:pPr>
        <w:pStyle w:val="Heading4"/>
        <w:spacing w:after="269"/>
        <w:ind w:left="120"/>
        <w:jc w:val="left"/>
      </w:pPr>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