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**ID__NMCARS_5228.9000__ID**</w:t>
      </w:r>
    </w:p>
    <w:p>
      <w:pPr>
        <w:pStyle w:val="Heading3"/>
        <w:spacing w:after="199"/>
        <w:ind w:left="120"/>
        <w:jc w:val="left"/>
      </w:pPr>
      <w:r>
        <w:rPr>
          <w:rFonts w:ascii="Times New Roman" w:hAnsi="Times New Roman"/>
          <w:color w:val="000000"/>
          <w:sz w:val="31"/>
        </w:rPr>
        <w:t>5228.9000</w:t>
      </w:r>
      <w:r>
        <w:rPr>
          <w:rFonts w:ascii="Times New Roman" w:hAnsi="Times New Roman"/>
          <w:color w:val="000000"/>
          <w:sz w:val="31"/>
        </w:rPr>
        <w:t xml:space="preserve"> General.</w:t>
      </w:r>
    </w:p>
    <w:p>
      <w:pPr>
        <w:pStyle w:val="Normal"/>
        <w:pBdr>
          <w:top w:space="5"/>
          <w:left w:space="5"/>
          <w:bottom w:space="5"/>
          <w:right w:space="5"/>
        </w:pBdr>
        <w:spacing w:after="0"/>
        <w:ind w:left="225"/>
        <w:jc w:val="left"/>
      </w:pPr>
      <w:r>
        <w:rPr>
          <w:rFonts w:ascii="Times New Roman" w:hAnsi="Times New Roman"/>
          <w:color w:val="000000"/>
        </w:rPr>
        <w:t>When Government property is leased under the authority of 10 U.S.C. 2667, the lessee, at its own expense, should insure the property and the liabilities of itself and the Government to third parties, including employees.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