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**ID__NMCARS_5233.9001__ID**</w:t>
      </w:r>
    </w:p>
    <w:p>
      <w:pPr>
        <w:pStyle w:val="Heading3"/>
        <w:spacing w:after="199"/>
        <w:ind w:left="120"/>
        <w:jc w:val="left"/>
      </w:pPr>
      <w:r>
        <w:rPr>
          <w:rFonts w:ascii="Times New Roman" w:hAnsi="Times New Roman"/>
          <w:color w:val="000000"/>
          <w:sz w:val="31"/>
        </w:rPr>
        <w:t>5233.9001</w:t>
      </w:r>
      <w:r>
        <w:rPr>
          <w:rFonts w:ascii="Times New Roman" w:hAnsi="Times New Roman"/>
          <w:color w:val="000000"/>
          <w:sz w:val="31"/>
        </w:rPr>
        <w:t xml:space="preserve"> Claims approval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(a) All proposed claim settlements in excess of $25 million, and final decisions of the contracting officer involving payments in an amount greater than $25 million, shall be submitted for review and approval to DASN(P)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5233.9001 – Proposed Claim Settlement &gt;$25M.” Other proposed claim settlements and final decisions of the contracting officer shall be reviewed and approved as specified by the HCA.</w:t>
      </w:r>
    </w:p>
    <w:p>
      <w:pPr>
        <w:pBdr>
          <w:top w:space="5"/>
          <w:left w:space="5"/>
          <w:bottom w:space="5"/>
          <w:right w:space="5"/>
        </w:pBdr>
        <w:spacing w:after="0"/>
        <w:ind w:left="225"/>
        <w:jc w:val="left"/>
      </w:pPr>
      <w:r>
        <w:rPr>
          <w:rFonts w:ascii="Times New Roman" w:hAnsi="Times New Roman"/>
          <w:b w:val="false"/>
          <w:i w:val="false"/>
          <w:color w:val="000000"/>
          <w:sz w:val="22"/>
        </w:rPr>
        <w:t>(b) The supporting documentation submitted to DASN(P) with respect to claim settlements or final decisions of a contracting officer shall include a legal memorandum. As a minimum the required legal memorandum should:</w:t>
      </w:r>
    </w:p>
    <w:p>
      <w:pPr>
        <w:pBdr>
          <w:top w:space="5"/>
          <w:left w:space="5"/>
          <w:bottom w:space="5"/>
          <w:right w:space="5"/>
        </w:pBdr>
        <w:spacing w:after="0"/>
        <w:ind w:left="585"/>
        <w:jc w:val="left"/>
      </w:pPr>
      <w:r>
        <w:rPr>
          <w:rFonts w:ascii="Times New Roman" w:hAnsi="Times New Roman"/>
          <w:b w:val="false"/>
          <w:i w:val="false"/>
          <w:color w:val="000000"/>
          <w:sz w:val="22"/>
        </w:rPr>
        <w:t>(1) Analyze the applicability and adequacy of the contractor's legal theory or theories of Government liability;</w:t>
      </w:r>
    </w:p>
    <w:p>
      <w:pPr>
        <w:pBdr>
          <w:top w:space="5"/>
          <w:left w:space="5"/>
          <w:bottom w:space="5"/>
          <w:right w:space="5"/>
        </w:pBdr>
        <w:spacing w:after="0"/>
        <w:ind w:left="585"/>
        <w:jc w:val="left"/>
      </w:pPr>
      <w:r>
        <w:rPr>
          <w:rFonts w:ascii="Times New Roman" w:hAnsi="Times New Roman"/>
          <w:b w:val="false"/>
          <w:i w:val="false"/>
          <w:color w:val="000000"/>
          <w:sz w:val="22"/>
        </w:rPr>
        <w:t>(2) Analyze and evaluate the presence and adequacy of evidentiary facts satisfying the elements of proof required by such legal theory or theories;</w:t>
      </w:r>
    </w:p>
    <w:p>
      <w:pPr>
        <w:pBdr>
          <w:top w:space="5"/>
          <w:left w:space="5"/>
          <w:bottom w:space="5"/>
          <w:right w:space="5"/>
        </w:pBdr>
        <w:spacing w:after="0"/>
        <w:ind w:left="585"/>
        <w:jc w:val="left"/>
      </w:pPr>
      <w:r>
        <w:rPr>
          <w:rFonts w:ascii="Times New Roman" w:hAnsi="Times New Roman"/>
          <w:b w:val="false"/>
          <w:i w:val="false"/>
          <w:color w:val="000000"/>
          <w:sz w:val="22"/>
        </w:rPr>
        <w:t>(3) Analyze the applicability and adequacy of any affirmative defense the Government may have to the contractor's claim, e.g., accord and satisfaction, failure of consideration, fraud, release, laches, statute of limitations; and</w:t>
      </w:r>
    </w:p>
    <w:p>
      <w:pPr>
        <w:pBdr>
          <w:top w:space="5"/>
          <w:left w:space="5"/>
          <w:bottom w:space="5"/>
          <w:right w:space="5"/>
        </w:pBdr>
        <w:spacing w:after="0"/>
        <w:ind w:left="585"/>
        <w:jc w:val="left"/>
      </w:pPr>
      <w:r>
        <w:rPr>
          <w:rFonts w:ascii="Times New Roman" w:hAnsi="Times New Roman"/>
          <w:b w:val="false"/>
          <w:i w:val="false"/>
          <w:color w:val="000000"/>
          <w:sz w:val="22"/>
        </w:rPr>
        <w:t>(4) Analyze and evaluate the presence of any counterclaims the Government may have against the contractor.</w:t>
      </w:r>
    </w:p>
    <w:p>
      <w:pPr>
        <w:pBdr>
          <w:top w:space="5"/>
          <w:left w:space="5"/>
          <w:bottom w:space="5"/>
          <w:right w:space="5"/>
        </w:pBdr>
        <w:spacing w:after="0"/>
        <w:ind w:left="225"/>
        <w:jc w:val="left"/>
      </w:pPr>
      <w:r>
        <w:rPr>
          <w:rFonts w:ascii="Times New Roman" w:hAnsi="Times New Roman"/>
          <w:b w:val="false"/>
          <w:i w:val="false"/>
          <w:color w:val="000000"/>
          <w:sz w:val="22"/>
        </w:rPr>
        <w:t>(c) No settlement commitment or final decision may be made prior to obtaining the required approval.</w:t>
      </w:r>
    </w:p>
    <w:p>
      <w:pPr>
        <w:pBdr>
          <w:top w:space="5"/>
          <w:left w:space="5"/>
          <w:bottom w:space="5"/>
          <w:right w:space="5"/>
        </w:pBdr>
        <w:spacing w:after="0"/>
        <w:ind w:left="225"/>
        <w:jc w:val="left"/>
      </w:pPr>
      <w:r>
        <w:rPr>
          <w:rFonts w:ascii="Times New Roman" w:hAnsi="Times New Roman"/>
          <w:b w:val="false"/>
          <w:i w:val="false"/>
          <w:color w:val="000000"/>
          <w:sz w:val="22"/>
        </w:rPr>
        <w:t>(d)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pPr>
        <w:pBdr>
          <w:top w:space="5"/>
          <w:left w:space="5"/>
          <w:bottom w:space="5"/>
          <w:right w:space="5"/>
        </w:pBdr>
        <w:spacing w:after="0"/>
        <w:ind w:left="585"/>
        <w:jc w:val="left"/>
      </w:pPr>
      <w:r>
        <w:rPr>
          <w:rFonts w:ascii="Times New Roman" w:hAnsi="Times New Roman"/>
          <w:b w:val="false"/>
          <w:i w:val="false"/>
          <w:color w:val="000000"/>
          <w:sz w:val="22"/>
        </w:rPr>
        <w:t>(1) A legal determination that the contractor is entitled to compensation.</w:t>
      </w:r>
    </w:p>
    <w:p>
      <w:pPr>
        <w:pBdr>
          <w:top w:space="5"/>
          <w:left w:space="5"/>
          <w:bottom w:space="5"/>
          <w:right w:space="5"/>
        </w:pBdr>
        <w:spacing w:after="0"/>
        <w:ind w:left="585"/>
        <w:jc w:val="left"/>
      </w:pPr>
      <w:r>
        <w:rPr>
          <w:rFonts w:ascii="Times New Roman" w:hAnsi="Times New Roman"/>
          <w:b w:val="false"/>
          <w:i w:val="false"/>
          <w:color w:val="000000"/>
          <w:sz w:val="22"/>
        </w:rPr>
        <w:t>(2) Sufficient technical, administrative, and audit analyses to permit such legal determination; and</w:t>
      </w:r>
    </w:p>
    <w:p>
      <w:pPr>
        <w:pBdr>
          <w:top w:space="5"/>
          <w:left w:space="5"/>
          <w:bottom w:space="5"/>
          <w:right w:space="5"/>
        </w:pBdr>
        <w:spacing w:after="0"/>
        <w:ind w:left="585"/>
        <w:jc w:val="left"/>
      </w:pPr>
      <w:r>
        <w:rPr>
          <w:rFonts w:ascii="Times New Roman" w:hAnsi="Times New Roman"/>
          <w:b w:val="false"/>
          <w:i w:val="false"/>
          <w:color w:val="000000"/>
          <w:sz w:val="22"/>
        </w:rPr>
        <w:t>(3)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pPr>
        <w:pBdr>
          <w:top w:space="5"/>
          <w:left w:space="5"/>
          <w:bottom w:space="5"/>
          <w:right w:space="5"/>
        </w:pBdr>
        <w:spacing w:after="0"/>
        <w:ind w:left="225"/>
        <w:jc w:val="left"/>
      </w:pPr>
      <w:r>
        <w:rPr>
          <w:rFonts w:ascii="Times New Roman" w:hAnsi="Times New Roman"/>
          <w:b w:val="false"/>
          <w:i w:val="false"/>
          <w:color w:val="000000"/>
          <w:sz w:val="22"/>
        </w:rPr>
        <w:t xml:space="preserve">(e) When a provisional payment, either individually or cumulatively against a single claim exceeds $25 million, a written justification shall be submitted for approval to DASN(P) by email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5233.9001 – Proposed Claim Provisional Payment &gt;$25M.”</w:t>
      </w:r>
    </w:p>
    <w:p>
      <w:pPr>
        <w:pBdr>
          <w:top w:space="5"/>
          <w:left w:space="5"/>
          <w:bottom w:space="5"/>
          <w:right w:space="5"/>
        </w:pBdr>
        <w:spacing w:after="0"/>
        <w:ind w:left="225"/>
        <w:jc w:val="left"/>
      </w:pPr>
      <w:r>
        <w:rPr>
          <w:rFonts w:ascii="Times New Roman" w:hAnsi="Times New Roman"/>
          <w:b w:val="false"/>
          <w:i w:val="false"/>
          <w:color w:val="000000"/>
          <w:sz w:val="22"/>
        </w:rPr>
        <w:t>The justification shall cover--</w:t>
      </w:r>
    </w:p>
    <w:p>
      <w:pPr>
        <w:pBdr>
          <w:top w:space="5"/>
          <w:left w:space="5"/>
          <w:bottom w:space="5"/>
          <w:right w:space="5"/>
        </w:pBdr>
        <w:spacing w:after="0"/>
        <w:ind w:left="585"/>
        <w:jc w:val="left"/>
      </w:pPr>
      <w:r>
        <w:rPr>
          <w:rFonts w:ascii="Times New Roman" w:hAnsi="Times New Roman"/>
          <w:b w:val="false"/>
          <w:i w:val="false"/>
          <w:color w:val="000000"/>
          <w:sz w:val="22"/>
        </w:rPr>
        <w:t>(1) the requirements of the claim;</w:t>
      </w:r>
    </w:p>
    <w:p>
      <w:pPr>
        <w:pBdr>
          <w:top w:space="5"/>
          <w:left w:space="5"/>
          <w:bottom w:space="5"/>
          <w:right w:space="5"/>
        </w:pBdr>
        <w:spacing w:after="0"/>
        <w:ind w:left="585"/>
        <w:jc w:val="left"/>
      </w:pPr>
      <w:r>
        <w:rPr>
          <w:rFonts w:ascii="Times New Roman" w:hAnsi="Times New Roman"/>
          <w:b w:val="false"/>
          <w:i w:val="false"/>
          <w:color w:val="000000"/>
          <w:sz w:val="22"/>
        </w:rPr>
        <w:t>(2) the projected date of settlement of the claim; and</w:t>
      </w:r>
    </w:p>
    <w:p>
      <w:pPr>
        <w:pBdr>
          <w:top w:space="5"/>
          <w:left w:space="5"/>
          <w:bottom w:space="5"/>
          <w:right w:space="5"/>
        </w:pBdr>
        <w:spacing w:after="0"/>
        <w:ind w:left="585"/>
        <w:jc w:val="left"/>
      </w:pPr>
      <w:r>
        <w:rPr>
          <w:rFonts w:ascii="Times New Roman" w:hAnsi="Times New Roman"/>
          <w:b w:val="false"/>
          <w:i w:val="false"/>
          <w:color w:val="000000"/>
          <w:sz w:val="22"/>
        </w:rPr>
        <w:t>(3) other pertinent information, including comments as to whether the contractor has reasonably satisfied all requests for documentary and analytical support of the claimed amount.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 TargetMode="External" Target="mailto:Rdaj&amp;as.fct@navy.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