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**ID__NMCARS_5234.203__ID**</w:t>
      </w:r>
    </w:p>
    <w:p>
      <w:pPr>
        <w:pStyle w:val="Heading3"/>
        <w:spacing w:after="199"/>
        <w:ind w:left="120"/>
        <w:jc w:val="left"/>
      </w:pPr>
      <w:r>
        <w:rPr>
          <w:rFonts w:ascii="Times New Roman" w:hAnsi="Times New Roman"/>
          <w:color w:val="000000"/>
          <w:sz w:val="31"/>
        </w:rPr>
        <w:t>5234.203</w:t>
      </w:r>
      <w:r>
        <w:rPr>
          <w:rFonts w:ascii="Times New Roman" w:hAnsi="Times New Roman"/>
          <w:color w:val="000000"/>
          <w:sz w:val="31"/>
        </w:rPr>
        <w:t xml:space="preserve"> Solicitation provisions and contract clause.</w:t>
      </w:r>
    </w:p>
    <w:p>
      <w:pPr>
        <w:pStyle w:val="Normal"/>
        <w:pBdr>
          <w:top w:space="5"/>
          <w:left w:space="5"/>
          <w:bottom w:space="5"/>
          <w:right w:space="5"/>
        </w:pBdr>
        <w:spacing w:after="0"/>
        <w:ind w:left="225"/>
        <w:jc w:val="left"/>
      </w:pPr>
      <w:r>
        <w:rPr>
          <w:rFonts w:ascii="Times New Roman" w:hAnsi="Times New Roman"/>
          <w:color w:val="000000"/>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