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**ID__NMCARS_5237.102__ID**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5237.102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consideration of using SeaPort to satisfy the requirements for the functional areas shown in Annex 22 is mandatory with the following exceptions: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**ID__ewecVK__ID**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Actions approved pursuant to authorities at FAR 6.302-1 through -7.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**ID__kibzzW__ID**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Actions with values below the Simplified Acquisition Threshold.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**ID__MubZkA__ID**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3)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Actions set aside for 8(a) participants.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**ID__yEkjYg__ID**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4)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Actions for Commercial Items under Part 12.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**ID__LxTuJg__ID**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5)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Actions using Simplified Acquisition Procedures under Part 13.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Personal Medical services contracts are included as an exemption from performance-based acquisition methods.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