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**ID__NMCARS_5201.9001__ID**</w:t>
      </w:r>
    </w:p>
    <w:p>
      <w:pPr>
        <w:pStyle w:val="Heading3"/>
        <w:spacing w:after="199"/>
        <w:ind w:left="120"/>
        <w:jc w:val="left"/>
      </w:pPr>
      <w:r>
        <w:rPr>
          <w:rFonts w:ascii="Times New Roman" w:hAnsi="Times New Roman"/>
          <w:color w:val="000000"/>
          <w:sz w:val="31"/>
        </w:rPr>
        <w:t>5201.9001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