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**ID__NMCARS_5237.9000__ID**</w:t>
      </w:r>
    </w:p>
    <w:p>
      <w:pPr>
        <w:pStyle w:val="Heading3"/>
        <w:spacing w:after="199"/>
        <w:ind w:left="120"/>
        <w:jc w:val="left"/>
      </w:pPr>
      <w:r>
        <w:rPr>
          <w:rFonts w:ascii="Times New Roman" w:hAnsi="Times New Roman"/>
          <w:color w:val="000000"/>
          <w:sz w:val="31"/>
        </w:rPr>
        <w:t>5237.9000</w:t>
      </w:r>
      <w:r>
        <w:rPr>
          <w:rFonts w:ascii="Times New Roman" w:hAnsi="Times New Roman"/>
          <w:color w:val="000000"/>
          <w:sz w:val="31"/>
        </w:rPr>
        <w:t xml:space="preserve"> Contracting for contractor guard services.</w:t>
      </w:r>
    </w:p>
    <w:p>
      <w:pPr>
        <w:pStyle w:val="Normal"/>
        <w:pBdr>
          <w:top w:space="5"/>
          <w:left w:space="5"/>
          <w:bottom w:space="5"/>
          <w:right w:space="5"/>
        </w:pBdr>
        <w:spacing w:after="0"/>
        <w:ind w:left="225"/>
        <w:jc w:val="left"/>
      </w:pPr>
      <w:r>
        <w:rPr>
          <w:rFonts w:ascii="Times New Roman" w:hAnsi="Times New Roman"/>
          <w:color w:val="000000"/>
        </w:rPr>
        <w:t>All requirements for contractor guard services for facilities, with the exception of those required to be obtained through the General Services Administration (GSA), shall be obtained through NAVFACENGCOM, unless specific authority is otherwise granted.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