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**ID__NMCARS_PART_5239__ID**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5239</w:t>
      </w:r>
      <w:r>
        <w:rPr>
          <w:rFonts w:ascii="Times New Roman" w:hAnsi="Times New Roman"/>
          <w:color w:val="000000"/>
        </w:rPr>
        <w:t xml:space="preserve"> ACQUISITION OF INFORMATION TECHNOLOGY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5239.001 Applicability.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5239.73 REQUIREMENTS FOR INFORMATION RELATING TO SUPPLY CHAIN RISK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5239.7304 Determination and notification.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239.001.dita#NMCARS_5239.001" Type="http://schemas.openxmlformats.org/officeDocument/2006/relationships/hyperlink" Id="rId4"/>
    <Relationship TargetMode="External" Target="SUBPART_5239.73.dita#NMCARS_SUBPART_5239.73" Type="http://schemas.openxmlformats.org/officeDocument/2006/relationships/hyperlink" Id="rId5"/>
    <Relationship TargetMode="External" Target="5239.7304.dita#NMCARS_5239.7304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