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**ID__NMCARS_5245.6023__ID**</w:t>
      </w:r>
    </w:p>
    <w:p>
      <w:pPr>
        <w:pStyle w:val="Heading4"/>
        <w:spacing w:after="269"/>
        <w:ind w:left="120"/>
        <w:jc w:val="left"/>
      </w:pPr>
      <w:r>
        <w:rPr>
          <w:rFonts w:ascii="Times New Roman" w:hAnsi="Times New Roman"/>
          <w:i w:val="false"/>
          <w:color w:val="000000"/>
          <w:sz w:val="24"/>
        </w:rPr>
        <w:t>5245.602-3</w:t>
      </w:r>
      <w:r>
        <w:rPr>
          <w:rFonts w:ascii="Times New Roman" w:hAnsi="Times New Roman"/>
          <w:i w:val="false"/>
          <w:color w:val="000000"/>
          <w:sz w:val="24"/>
        </w:rPr>
        <w:t xml:space="preserve"> Screening.</w:t>
      </w:r>
    </w:p>
    <w:p>
      <w:pPr>
        <w:pBdr>
          <w:top w:space="5"/>
          <w:left w:space="5"/>
          <w:bottom w:space="5"/>
          <w:right w:space="5"/>
        </w:pBdr>
        <w:spacing w:after="0"/>
        <w:ind w:left="225"/>
        <w:jc w:val="left"/>
      </w:pPr>
      <w:r>
        <w:rPr>
          <w:rFonts w:ascii="Times New Roman" w:hAnsi="Times New Roman"/>
          <w:b w:val="false"/>
          <w:i w:val="false"/>
          <w:color w:val="000000"/>
          <w:sz w:val="22"/>
        </w:rPr>
        <w:t>(a) To accomplish the screening requirements within prescribed time periods, the following procedures shall be employed:</w:t>
      </w:r>
    </w:p>
    <w:p>
      <w:pPr>
        <w:pBdr>
          <w:top w:space="5"/>
          <w:left w:space="5"/>
          <w:bottom w:space="5"/>
          <w:right w:space="5"/>
        </w:pBdr>
        <w:spacing w:after="0"/>
        <w:ind w:left="585"/>
        <w:jc w:val="left"/>
      </w:pPr>
      <w:r>
        <w:rPr>
          <w:rFonts w:ascii="Times New Roman" w:hAnsi="Times New Roman"/>
          <w:b w:val="false"/>
          <w:i w:val="false"/>
          <w:color w:val="000000"/>
          <w:sz w:val="22"/>
        </w:rP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pPr>
        <w:pBdr>
          <w:top w:space="5"/>
          <w:left w:space="5"/>
          <w:bottom w:space="5"/>
          <w:right w:space="5"/>
        </w:pBdr>
        <w:spacing w:after="0"/>
        <w:ind w:left="945"/>
        <w:jc w:val="left"/>
      </w:pPr>
      <w:r>
        <w:rPr>
          <w:rFonts w:ascii="Times New Roman" w:hAnsi="Times New Roman"/>
          <w:b w:val="false"/>
          <w:i w:val="false"/>
          <w:color w:val="000000"/>
          <w:sz w:val="22"/>
        </w:rPr>
        <w:t>(2) Provide retention and redistribution requirements of the owning Commands, Offices and Bureaus (requiring activities), inventory managers, contracting activities and other Naval activities directly to the reporting office during this period.</w:t>
      </w:r>
    </w:p>
    <w:p>
      <w:pPr>
        <w:pBdr>
          <w:top w:space="5"/>
          <w:left w:space="5"/>
          <w:bottom w:space="5"/>
          <w:right w:space="5"/>
        </w:pBdr>
        <w:spacing w:after="0"/>
        <w:ind w:left="225"/>
        <w:jc w:val="left"/>
      </w:pPr>
      <w:r>
        <w:rPr>
          <w:rFonts w:ascii="Times New Roman" w:hAnsi="Times New Roman"/>
          <w:b w:val="false"/>
          <w:i w:val="false"/>
          <w:color w:val="000000"/>
          <w:sz w:val="22"/>
        </w:rPr>
        <w:t>(b) The final approval for contractor retention of standard components of special test equipment (STE) or for the transfer of industrial plant equipment items that are components of STE, shall be made by the contracting officer in lieu of the ACO.</w:t>
      </w:r>
    </w:p>
    <w:p>
      <w:pPr>
        <w:pBdr>
          <w:top w:space="5"/>
          <w:left w:space="5"/>
          <w:bottom w:space="5"/>
          <w:right w:space="5"/>
        </w:pBdr>
        <w:spacing w:after="0"/>
        <w:ind w:left="225"/>
        <w:jc w:val="left"/>
      </w:pPr>
      <w:r>
        <w:rPr>
          <w:rFonts w:ascii="Times New Roman" w:hAnsi="Times New Roman"/>
          <w:b w:val="false"/>
          <w:i w:val="false"/>
          <w:color w:val="000000"/>
          <w:sz w:val="22"/>
        </w:rP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