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**ID__NMCARS_Annex-5__ID**</w:t>
      </w:r>
    </w:p>
    <w:p>
      <w:pPr>
        <w:pStyle w:val="Heading1"/>
        <w:spacing w:after="161"/>
        <w:ind w:left="120"/>
        <w:jc w:val="center"/>
      </w:pPr>
      <w:r>
        <w:rPr>
          <w:rFonts w:ascii="Times New Roman" w:hAnsi="Times New Roman"/>
          <w:color w:val="000000"/>
        </w:rPr>
        <w:t>ANNEX 5</w:t>
      </w:r>
      <w:r>
        <w:rPr>
          <w:rFonts w:ascii="Times New Roman" w:hAnsi="Times New Roman"/>
          <w:color w:val="000000"/>
        </w:rPr>
        <w:t xml:space="preserve"> – BRIDGE CONTRACT APPROVAL AND REPORTING </w:t>
      </w:r>
      <w:r>
        <w:rPr>
          <w:rFonts w:ascii="Times New Roman" w:hAnsi="Times New Roman"/>
          <w:color w:val="000000"/>
        </w:rPr>
        <w:t>**ref__NMCARS_Annex-5__ref**</w:t>
      </w:r>
    </w:p>
    <w:p>
      <w:pPr>
        <w:pBdr>
          <w:top w:space="5"/>
          <w:left w:space="5"/>
          <w:bottom w:space="5"/>
          <w:right w:space="5"/>
        </w:pBdr>
        <w:spacing w:after="0"/>
        <w:ind w:left="225"/>
        <w:jc w:val="left"/>
      </w:pPr>
      <w:r>
        <w:rPr>
          <w:rFonts w:ascii="Times New Roman" w:hAnsi="Times New Roman"/>
          <w:b/>
          <w:i w:val="false"/>
          <w:color w:val="000000"/>
          <w:sz w:val="22"/>
        </w:rPr>
        <w:t>1. Approval.</w:t>
      </w:r>
    </w:p>
    <w:p>
      <w:pPr>
        <w:pBdr>
          <w:top w:space="5"/>
          <w:left w:space="5"/>
          <w:bottom w:space="5"/>
          <w:right w:space="5"/>
        </w:pBdr>
        <w:spacing w:after="0"/>
        <w:ind w:left="225"/>
        <w:jc w:val="left"/>
      </w:pPr>
      <w:r>
        <w:rPr>
          <w:rFonts w:ascii="Times New Roman" w:hAnsi="Times New Roman"/>
          <w:b w:val="false"/>
          <w:i w:val="false"/>
          <w:color w:val="000000"/>
          <w:sz w:val="22"/>
        </w:rPr>
        <w:t>Pursuant to 5206.303-1(S-90), the template below shall be used when requesting approval to award a bridge contract.</w:t>
      </w:r>
    </w:p>
    <w:p>
      <w:pPr>
        <w:pBdr>
          <w:top w:space="5"/>
          <w:left w:space="5"/>
          <w:bottom w:space="5"/>
          <w:right w:space="5"/>
        </w:pBdr>
        <w:spacing w:after="0"/>
        <w:ind w:left="225"/>
        <w:jc w:val="center"/>
      </w:pPr>
      <w:r>
        <w:rPr>
          <w:rFonts w:ascii="Times New Roman" w:hAnsi="Times New Roman"/>
          <w:b/>
          <w:i w:val="false"/>
          <w:color w:val="000000"/>
          <w:sz w:val="22"/>
        </w:rPr>
        <w:t>REQUEST FOR AUTHORIZATION OF BRIDGE CONTRACT</w:t>
      </w:r>
    </w:p>
    <w:p>
      <w:pPr>
        <w:numPr>
          <w:ilvl w:val="0"/>
          <w:numId w:val="1"/>
        </w:numPr>
        <w:spacing w:after="0"/>
        <w:jc w:val="left"/>
      </w:pPr>
      <w:r>
        <w:rPr>
          <w:rFonts w:ascii="Times New Roman" w:hAnsi="Times New Roman"/>
          <w:b w:val="false"/>
          <w:i w:val="false"/>
          <w:color w:val="000000"/>
          <w:sz w:val="22"/>
        </w:rPr>
        <w:t>**ID__uYrANN__ID**</w:t>
      </w:r>
      <w:r>
        <w:rPr>
          <w:rFonts w:ascii="Times New Roman" w:hAnsi="Times New Roman"/>
          <w:b w:val="false"/>
          <w:i w:val="false"/>
          <w:color w:val="000000"/>
          <w:sz w:val="22"/>
        </w:rPr>
        <w:t xml:space="preserve"> </w:t>
      </w:r>
      <w:r>
        <w:rPr>
          <w:rFonts w:ascii="Times New Roman" w:hAnsi="Times New Roman"/>
          <w:b w:val="false"/>
          <w:i w:val="false"/>
          <w:color w:val="000000"/>
          <w:sz w:val="22"/>
        </w:rPr>
        <w:t>1)</w:t>
      </w:r>
      <w:r>
        <w:rPr>
          <w:rFonts w:ascii="Times New Roman" w:hAnsi="Times New Roman"/>
          <w:b w:val="false"/>
          <w:i w:val="false"/>
          <w:color w:val="000000"/>
          <w:sz w:val="22"/>
        </w:rPr>
        <w:t xml:space="preserve"> Existing contract #:__________________________________________________________</w:t>
      </w:r>
    </w:p>
    <w:p>
      <w:pPr>
        <w:numPr>
          <w:ilvl w:val="0"/>
          <w:numId w:val="1"/>
        </w:numPr>
        <w:spacing w:after="0"/>
        <w:jc w:val="left"/>
      </w:pPr>
      <w:r>
        <w:rPr>
          <w:rFonts w:ascii="Times New Roman" w:hAnsi="Times New Roman"/>
          <w:b w:val="false"/>
          <w:i w:val="false"/>
          <w:color w:val="000000"/>
          <w:sz w:val="22"/>
        </w:rPr>
        <w:t>**ID__pWPowQ__ID**</w:t>
      </w:r>
      <w:r>
        <w:rPr>
          <w:rFonts w:ascii="Times New Roman" w:hAnsi="Times New Roman"/>
          <w:b w:val="false"/>
          <w:i w:val="false"/>
          <w:color w:val="000000"/>
          <w:sz w:val="22"/>
        </w:rPr>
        <w:t xml:space="preserve"> </w:t>
      </w:r>
      <w:r>
        <w:rPr>
          <w:rFonts w:ascii="Times New Roman" w:hAnsi="Times New Roman"/>
          <w:b w:val="false"/>
          <w:i w:val="false"/>
          <w:color w:val="000000"/>
          <w:sz w:val="22"/>
        </w:rPr>
        <w:t>2)</w:t>
      </w:r>
      <w:r>
        <w:rPr>
          <w:rFonts w:ascii="Times New Roman" w:hAnsi="Times New Roman"/>
          <w:b w:val="false"/>
          <w:i w:val="false"/>
          <w:color w:val="000000"/>
          <w:sz w:val="22"/>
        </w:rPr>
        <w:t xml:space="preserve"> Incumbent name:____________________________________________________________</w:t>
      </w:r>
    </w:p>
    <w:p>
      <w:pPr>
        <w:numPr>
          <w:ilvl w:val="0"/>
          <w:numId w:val="1"/>
        </w:numPr>
        <w:spacing w:after="0"/>
        <w:jc w:val="left"/>
      </w:pPr>
      <w:r>
        <w:rPr>
          <w:rFonts w:ascii="Times New Roman" w:hAnsi="Times New Roman"/>
          <w:b w:val="false"/>
          <w:i w:val="false"/>
          <w:color w:val="000000"/>
          <w:sz w:val="22"/>
        </w:rPr>
        <w:t>**ID__yaahGM__ID**</w:t>
      </w:r>
      <w:r>
        <w:rPr>
          <w:rFonts w:ascii="Times New Roman" w:hAnsi="Times New Roman"/>
          <w:b w:val="false"/>
          <w:i w:val="false"/>
          <w:color w:val="000000"/>
          <w:sz w:val="22"/>
        </w:rPr>
        <w:t xml:space="preserve"> </w:t>
      </w:r>
      <w:r>
        <w:rPr>
          <w:rFonts w:ascii="Times New Roman" w:hAnsi="Times New Roman"/>
          <w:b w:val="false"/>
          <w:i w:val="false"/>
          <w:color w:val="000000"/>
          <w:sz w:val="22"/>
        </w:rPr>
        <w:t>3)</w:t>
      </w:r>
      <w:r>
        <w:rPr>
          <w:rFonts w:ascii="Times New Roman" w:hAnsi="Times New Roman"/>
          <w:b w:val="false"/>
          <w:i w:val="false"/>
          <w:color w:val="000000"/>
          <w:sz w:val="22"/>
        </w:rPr>
        <w:t xml:space="preserve"> Existing contract period of performance and contract value (including unexercised options):</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numPr>
          <w:ilvl w:val="0"/>
          <w:numId w:val="1"/>
        </w:numPr>
        <w:spacing w:after="0"/>
        <w:jc w:val="left"/>
      </w:pPr>
      <w:r>
        <w:rPr>
          <w:rFonts w:ascii="Times New Roman" w:hAnsi="Times New Roman"/>
          <w:b w:val="false"/>
          <w:i w:val="false"/>
          <w:color w:val="000000"/>
          <w:sz w:val="22"/>
        </w:rPr>
        <w:t>**ID__iSxevE__ID**</w:t>
      </w:r>
      <w:r>
        <w:rPr>
          <w:rFonts w:ascii="Times New Roman" w:hAnsi="Times New Roman"/>
          <w:b w:val="false"/>
          <w:i w:val="false"/>
          <w:color w:val="000000"/>
          <w:sz w:val="22"/>
        </w:rPr>
        <w:t xml:space="preserve"> </w:t>
      </w:r>
      <w:r>
        <w:rPr>
          <w:rFonts w:ascii="Times New Roman" w:hAnsi="Times New Roman"/>
          <w:b w:val="false"/>
          <w:i w:val="false"/>
          <w:color w:val="000000"/>
          <w:sz w:val="22"/>
        </w:rPr>
        <w:t>4)</w:t>
      </w:r>
      <w:r>
        <w:rPr>
          <w:rFonts w:ascii="Times New Roman" w:hAnsi="Times New Roman"/>
          <w:b w:val="false"/>
          <w:i w:val="false"/>
          <w:color w:val="000000"/>
          <w:sz w:val="22"/>
        </w:rPr>
        <w:t xml:space="preserve"> Is this the first use of a bridge contract to provide for continuation of a service to be performed through a services contract? If not, please elaborate:</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numPr>
          <w:ilvl w:val="0"/>
          <w:numId w:val="1"/>
        </w:numPr>
        <w:spacing w:after="0"/>
        <w:jc w:val="left"/>
      </w:pPr>
      <w:r>
        <w:rPr>
          <w:rFonts w:ascii="Times New Roman" w:hAnsi="Times New Roman"/>
          <w:b w:val="false"/>
          <w:i w:val="false"/>
          <w:color w:val="000000"/>
          <w:sz w:val="22"/>
        </w:rPr>
        <w:t>**ID__qlueVP__ID**</w:t>
      </w:r>
      <w:r>
        <w:rPr>
          <w:rFonts w:ascii="Times New Roman" w:hAnsi="Times New Roman"/>
          <w:b w:val="false"/>
          <w:i w:val="false"/>
          <w:color w:val="000000"/>
          <w:sz w:val="22"/>
        </w:rPr>
        <w:t xml:space="preserve"> </w:t>
      </w:r>
      <w:r>
        <w:rPr>
          <w:rFonts w:ascii="Times New Roman" w:hAnsi="Times New Roman"/>
          <w:b w:val="false"/>
          <w:i w:val="false"/>
          <w:color w:val="000000"/>
          <w:sz w:val="22"/>
        </w:rPr>
        <w:t>5)</w:t>
      </w:r>
      <w:r>
        <w:rPr>
          <w:rFonts w:ascii="Times New Roman" w:hAnsi="Times New Roman"/>
          <w:b w:val="false"/>
          <w:i w:val="false"/>
          <w:color w:val="000000"/>
          <w:sz w:val="22"/>
        </w:rPr>
        <w:t xml:space="preserve"> Estimated period of performance and value of requested bridge contract:</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numPr>
          <w:ilvl w:val="0"/>
          <w:numId w:val="1"/>
        </w:numPr>
        <w:spacing w:after="0"/>
        <w:jc w:val="left"/>
      </w:pPr>
      <w:r>
        <w:rPr>
          <w:rFonts w:ascii="Times New Roman" w:hAnsi="Times New Roman"/>
          <w:b w:val="false"/>
          <w:i w:val="false"/>
          <w:color w:val="000000"/>
          <w:sz w:val="22"/>
        </w:rPr>
        <w:t>**ID__lCnGfM__ID**</w:t>
      </w:r>
      <w:r>
        <w:rPr>
          <w:rFonts w:ascii="Times New Roman" w:hAnsi="Times New Roman"/>
          <w:b w:val="false"/>
          <w:i w:val="false"/>
          <w:color w:val="000000"/>
          <w:sz w:val="22"/>
        </w:rPr>
        <w:t xml:space="preserve"> </w:t>
      </w:r>
      <w:r>
        <w:rPr>
          <w:rFonts w:ascii="Times New Roman" w:hAnsi="Times New Roman"/>
          <w:b w:val="false"/>
          <w:i w:val="false"/>
          <w:color w:val="000000"/>
          <w:sz w:val="22"/>
        </w:rPr>
        <w:t>6)</w:t>
      </w:r>
      <w:r>
        <w:rPr>
          <w:rFonts w:ascii="Times New Roman" w:hAnsi="Times New Roman"/>
          <w:b w:val="false"/>
          <w:i w:val="false"/>
          <w:color w:val="000000"/>
          <w:sz w:val="22"/>
        </w:rPr>
        <w:t xml:space="preserve"> Reason for requested bridge contract. Was it due to reasons other than protest, urgency, or delays during evaluation? If not, provide explanation.</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______________________________________________________________________________________________________________________________________________________________________________________________________________________________</w:t>
      </w:r>
    </w:p>
    <w:p>
      <w:pPr>
        <w:numPr>
          <w:ilvl w:val="0"/>
          <w:numId w:val="1"/>
        </w:numPr>
        <w:spacing w:after="0"/>
        <w:jc w:val="left"/>
      </w:pPr>
      <w:r>
        <w:rPr>
          <w:rFonts w:ascii="Times New Roman" w:hAnsi="Times New Roman"/>
          <w:b w:val="false"/>
          <w:i w:val="false"/>
          <w:color w:val="000000"/>
          <w:sz w:val="22"/>
        </w:rPr>
        <w:t>**ID__GDYbph__ID**</w:t>
      </w:r>
      <w:r>
        <w:rPr>
          <w:rFonts w:ascii="Times New Roman" w:hAnsi="Times New Roman"/>
          <w:b w:val="false"/>
          <w:i w:val="false"/>
          <w:color w:val="000000"/>
          <w:sz w:val="22"/>
        </w:rPr>
        <w:t xml:space="preserve"> </w:t>
      </w:r>
      <w:r>
        <w:rPr>
          <w:rFonts w:ascii="Times New Roman" w:hAnsi="Times New Roman"/>
          <w:b w:val="false"/>
          <w:i w:val="false"/>
          <w:color w:val="000000"/>
          <w:sz w:val="22"/>
        </w:rPr>
        <w:t>7)</w:t>
      </w:r>
      <w:r>
        <w:rPr>
          <w:rFonts w:ascii="Times New Roman" w:hAnsi="Times New Roman"/>
          <w:b w:val="false"/>
          <w:i w:val="false"/>
          <w:color w:val="000000"/>
          <w:sz w:val="22"/>
        </w:rPr>
        <w:t xml:space="preserve"> For the second or more use of a bridge contract with a total estimated value at or above $10 million due to inadequate planning as defined in 5206.303-91(b), has an update on the status of the bridge contract (including rationale for using the bridge contract), as required 5206.303-91(a) been provided to the Senior Services Manager (SSM)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Indicate date of email.</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w:t>
      </w:r>
    </w:p>
    <w:p>
      <w:pPr>
        <w:numPr>
          <w:ilvl w:val="0"/>
          <w:numId w:val="1"/>
        </w:numPr>
        <w:spacing w:after="0"/>
        <w:jc w:val="left"/>
      </w:pPr>
      <w:r>
        <w:rPr>
          <w:rFonts w:ascii="Times New Roman" w:hAnsi="Times New Roman"/>
          <w:b w:val="false"/>
          <w:i w:val="false"/>
          <w:color w:val="000000"/>
          <w:sz w:val="22"/>
        </w:rPr>
        <w:t>**ID__FrLAYg__ID**</w:t>
      </w:r>
      <w:r>
        <w:rPr>
          <w:rFonts w:ascii="Times New Roman" w:hAnsi="Times New Roman"/>
          <w:b w:val="false"/>
          <w:i w:val="false"/>
          <w:color w:val="000000"/>
          <w:sz w:val="22"/>
        </w:rPr>
        <w:t xml:space="preserve"> </w:t>
      </w:r>
      <w:r>
        <w:rPr>
          <w:rFonts w:ascii="Times New Roman" w:hAnsi="Times New Roman"/>
          <w:b w:val="false"/>
          <w:i w:val="false"/>
          <w:color w:val="000000"/>
          <w:sz w:val="22"/>
        </w:rPr>
        <w:t>8)</w:t>
      </w:r>
      <w:r>
        <w:rPr>
          <w:rFonts w:ascii="Times New Roman" w:hAnsi="Times New Roman"/>
          <w:b w:val="false"/>
          <w:i w:val="false"/>
          <w:color w:val="000000"/>
          <w:sz w:val="22"/>
        </w:rPr>
        <w:t xml:space="preserve"> For the second or more use of a bridge contract with a total estimated value of less than $10 million due to inadequate planning as defined in 5206.303-91(b), explain why the use of the previous bridge contract was unsuccessful in preventing an additional bridge contract. Has an update been provided to the SSM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Indicate date email sent:</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______________________________________________________________________________________________________________________________________________________________________________________________________________________________</w:t>
      </w:r>
    </w:p>
    <w:p>
      <w:pPr>
        <w:numPr>
          <w:ilvl w:val="0"/>
          <w:numId w:val="1"/>
        </w:numPr>
        <w:spacing w:after="0"/>
        <w:jc w:val="left"/>
      </w:pPr>
      <w:r>
        <w:rPr>
          <w:rFonts w:ascii="Times New Roman" w:hAnsi="Times New Roman"/>
          <w:b w:val="false"/>
          <w:i w:val="false"/>
          <w:color w:val="000000"/>
          <w:sz w:val="22"/>
        </w:rPr>
        <w:t>**ID__7cnqqnor__ID**</w:t>
      </w:r>
      <w:r>
        <w:rPr>
          <w:rFonts w:ascii="Times New Roman" w:hAnsi="Times New Roman"/>
          <w:b w:val="false"/>
          <w:i w:val="false"/>
          <w:color w:val="000000"/>
          <w:sz w:val="22"/>
        </w:rPr>
        <w:t xml:space="preserve"> </w:t>
      </w:r>
      <w:r>
        <w:rPr>
          <w:rFonts w:ascii="Times New Roman" w:hAnsi="Times New Roman"/>
          <w:b w:val="false"/>
          <w:i w:val="false"/>
          <w:color w:val="000000"/>
          <w:sz w:val="22"/>
        </w:rPr>
        <w:t>9)</w:t>
      </w:r>
      <w:r>
        <w:rPr>
          <w:rFonts w:ascii="Times New Roman" w:hAnsi="Times New Roman"/>
          <w:b w:val="false"/>
          <w:i w:val="false"/>
          <w:color w:val="000000"/>
          <w:sz w:val="22"/>
        </w:rPr>
        <w:t xml:space="preserve"> Actions Taken to Eliminate Future Need for Bridge Contract: (address whether the acquisition strategy is full and open, limited competition, or sole source) ________________________________________________________________________________________________________________________________________________</w:t>
      </w:r>
    </w:p>
    <w:p>
      <w:pPr>
        <w:pBdr>
          <w:top w:space="5"/>
          <w:left w:space="5"/>
          <w:bottom w:space="5"/>
          <w:right w:space="5"/>
        </w:pBdr>
        <w:spacing w:after="0"/>
        <w:ind w:left="225"/>
        <w:jc w:val="center"/>
      </w:pPr>
      <w:r>
        <w:rPr>
          <w:rFonts w:ascii="Times New Roman" w:hAnsi="Times New Roman"/>
          <w:b/>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request for authorization of a bridge contract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740"/>
        <w:gridCol w:w="3376"/>
        <w:gridCol w:w="3239"/>
        <w:gridCol w:w="3219"/>
      </w:tblGrid>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740"/>
        <w:gridCol w:w="3365"/>
        <w:gridCol w:w="3366"/>
        <w:gridCol w:w="3103"/>
      </w:tblGrid>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6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1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6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36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10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for this request for authorization of a bridge contract are accurate and complete to the best of my knowledge and belief.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740"/>
        <w:gridCol w:w="3260"/>
        <w:gridCol w:w="2780"/>
        <w:gridCol w:w="3900"/>
      </w:tblGrid>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26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2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w:t>
            </w:r>
          </w:p>
        </w:tc>
        <w:tc>
          <w:tcPr>
            <w:tcW w:w="39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w:t>
            </w:r>
          </w:p>
        </w:tc>
      </w:tr>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26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278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9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$700,000 OR LESS</w:t>
      </w:r>
    </w:p>
    <w:p>
      <w:pPr>
        <w:pBdr>
          <w:top w:space="5"/>
          <w:left w:space="5"/>
          <w:bottom w:space="5"/>
          <w:right w:space="5"/>
        </w:pBdr>
        <w:spacing w:after="0"/>
        <w:ind w:left="225"/>
        <w:jc w:val="center"/>
      </w:pPr>
      <w:r>
        <w:rPr>
          <w:rFonts w:ascii="Times New Roman" w:hAnsi="Times New Roman"/>
          <w:b w:val="false"/>
          <w:i w:val="false"/>
          <w:color w:val="000000"/>
          <w:sz w:val="22"/>
        </w:rPr>
        <w:t>ACTIVITY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Activity Chief of the Contracting Office, the negotiation of a bridge contract valued at $700,000 or less as described herein.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BETWEEN $700,000 AND $5,500,000</w:t>
      </w:r>
    </w:p>
    <w:p>
      <w:pPr>
        <w:pBdr>
          <w:top w:space="5"/>
          <w:left w:space="5"/>
          <w:bottom w:space="5"/>
          <w:right w:space="5"/>
        </w:pBdr>
        <w:spacing w:after="0"/>
        <w:ind w:left="225"/>
        <w:jc w:val="center"/>
      </w:pPr>
      <w:r>
        <w:rPr>
          <w:rFonts w:ascii="Times New Roman" w:hAnsi="Times New Roman"/>
          <w:b w:val="false"/>
          <w:i w:val="false"/>
          <w:color w:val="000000"/>
          <w:sz w:val="22"/>
        </w:rPr>
        <w:t>ECHELON II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Echelon II/III Chief of the Contracting Office, the negotiation of a bridge contract valued between $700,000 and $5,500,000 as described herein.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GREATER THAN $5,500,000</w:t>
      </w:r>
    </w:p>
    <w:p>
      <w:pPr>
        <w:pBdr>
          <w:top w:space="5"/>
          <w:left w:space="5"/>
          <w:bottom w:space="5"/>
          <w:right w:space="5"/>
        </w:pBdr>
        <w:spacing w:after="0"/>
        <w:ind w:left="225"/>
        <w:jc w:val="center"/>
      </w:pPr>
      <w:r>
        <w:rPr>
          <w:rFonts w:ascii="Times New Roman" w:hAnsi="Times New Roman"/>
          <w:b w:val="false"/>
          <w:i w:val="false"/>
          <w:color w:val="000000"/>
          <w:sz w:val="22"/>
        </w:rPr>
        <w:t>HEAD OF THE CONTRACTING ACTIVITY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Head of the Contracting Activity, the negotiation of a bridge contract valued greater than $5,500,000 as described herein.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2. Reporting</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accordance with 5206.303-91, HCAs shall provide a bridge contract status update (including rationale for using the bridge contract) to the SSM for bridge contracts awarded due to inadequate planning with a total estimated value at or above $10 million. All bridge contracts are considered awarded due to inadequate planning unless caused by protest, urgency, or delays during evaluation.</w:t>
      </w:r>
    </w:p>
    <w:p>
      <w:pPr>
        <w:pBdr>
          <w:top w:space="5"/>
          <w:left w:space="5"/>
          <w:bottom w:space="5"/>
          <w:right w:space="5"/>
        </w:pBdr>
        <w:spacing w:after="0"/>
        <w:ind w:left="225"/>
        <w:jc w:val="left"/>
      </w:pPr>
      <w:r>
        <w:rPr>
          <w:rFonts w:ascii="Times New Roman" w:hAnsi="Times New Roman"/>
          <w:b w:val="false"/>
          <w:i w:val="false"/>
          <w:color w:val="000000"/>
          <w:sz w:val="22"/>
        </w:rPr>
        <w:t>b. The requirement above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 contracts entered into pursuant to an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Status updates on bridge contracts awarded due to inadequate planning will be used by DASN(P) to notify senior leadership in accordance with Department of Defense Instruction 5000.74, Defense Acquisition of Services, section 4.7 (Timely Planning to Avoid Bridge Contracts).</w:t>
      </w:r>
    </w:p>
    <w:p>
      <w:pPr>
        <w:pBdr>
          <w:top w:space="5"/>
          <w:left w:space="5"/>
          <w:bottom w:space="5"/>
          <w:right w:space="5"/>
        </w:pBdr>
        <w:spacing w:after="0"/>
        <w:ind w:left="225"/>
        <w:jc w:val="left"/>
      </w:pPr>
      <w:r>
        <w:rPr>
          <w:rFonts w:ascii="Times New Roman" w:hAnsi="Times New Roman"/>
          <w:b w:val="false"/>
          <w:i w:val="false"/>
          <w:color w:val="000000"/>
          <w:sz w:val="22"/>
        </w:rPr>
        <w:t>d. In accordance with NMCARS 5206.303-92, thirty (30) days after the end of each quarter, each HCA shall report data on bridge contract use to DASN(P) using the formatted spreadsheet located at: https://www.secnav.navy.mil/rda/DASN-P/Pages/NMCARS.aspx. Negative reports are required.</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eniorServicesManage.fct@navy.mil" Type="http://schemas.openxmlformats.org/officeDocument/2006/relationships/hyperlink" Id="rId4"/>
    <Relationship TargetMode="External" Target="mailto:SeniorServicesManage.fct@navy.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