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**ID__NMCARS_Annex-15__ID**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15</w:t>
      </w:r>
      <w:r>
        <w:rPr>
          <w:rFonts w:ascii="Times New Roman" w:hAnsi="Times New Roman"/>
          <w:color w:val="000000"/>
        </w:rPr>
        <w:t xml:space="preserve"> – UAC/RATIFICATION REPORT </w:t>
      </w:r>
      <w:r>
        <w:rPr>
          <w:rFonts w:ascii="Times New Roman" w:hAnsi="Times New Roman"/>
          <w:color w:val="000000"/>
        </w:rPr>
        <w:t>**ref__NMCARS_Annex-15__ref**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Format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formatted spreadsheet is available on the ASN(RDA) website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https://www.secnav.navy.mil/rda/DASN-P/Pages/NMCARS.aspx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4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Field Name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Description</w:t>
            </w:r>
          </w:p>
        </w:tc>
      </w:tr>
      <w:tr>
        <w:trPr>
          <w:trHeight w:val="298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Ratification Number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numbering format shall consist of (e.g. First reported FY16 NAVSEA action: N00024-16-UAC-001):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(A) Organization Unit Identification Code-;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(B) FY when UAC reported-;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(C) The acronym ”UAC”-;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(D) A consecutive 3-digit numeric identifier.</w:t>
            </w:r>
          </w:p>
        </w:tc>
      </w:tr>
      <w:tr>
        <w:trPr>
          <w:trHeight w:val="133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Status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Open or Closed. No other entries are acceptable. If an action was initially reported as a UAC and later determined to not be a ratification action, the item should be reported as closed.</w:t>
            </w:r>
          </w:p>
        </w:tc>
      </w:tr>
      <w:tr>
        <w:trPr>
          <w:trHeight w:val="133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Date Opened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date the item was determined to be a UAC. Acceptable dates include the date: an invoice is received; an employee reports the action; or, the date the action is determined to be a UAC.</w:t>
            </w:r>
          </w:p>
        </w:tc>
      </w:tr>
      <w:tr>
        <w:trPr>
          <w:trHeight w:val="160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Date Closed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date the ratification is complete or, if not a ratification, the date the item is deemed as other than a ratifiable action. Acceptable dates are the date of the order, contract/modification, or credit card action.</w:t>
            </w:r>
          </w:p>
        </w:tc>
      </w:tr>
      <w:tr>
        <w:trPr>
          <w:trHeight w:val="154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HCA reporting the UAC. Acceptable entries are: HQMC I&amp;L, MCSC, MSC, NAVAIR, NAVFAC, NAVSEA, NAVSUP,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ONR, NAVWAR, or SSP.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NAVSUP BSO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For use by NAVSUP only. All others leave blank.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Person Committing the UAC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name of the person committing the UAC.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name of the contractor performing the UAC.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Contractor’s CAGE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Contractor’s CAGE code.</w:t>
            </w:r>
          </w:p>
        </w:tc>
      </w:tr>
      <w:tr>
        <w:trPr>
          <w:trHeight w:val="123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Previous UAC?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or No. Answer based on whether or not the person or contactor committing or performing the UAC has done so previously.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Disciplinary Action?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or No.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Product and Service Code (PSC)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applicable PSC associated with the product/service provided/received in the ratification.</w:t>
            </w:r>
          </w:p>
        </w:tc>
      </w:tr>
      <w:tr>
        <w:trPr>
          <w:trHeight w:val="106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Description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 short description of the product/service involved and the circumstances involved in performing the UAC.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Amount Reported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Dollar amount of the reported UAC.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Amount Ratified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Dollar amount of the ratification (if ratified).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Officer’s name.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Ratifying Official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Ratifying Official’s name.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Additional Info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Any clarifying or explanatory information deemed necessary by the reporting activity.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secnav.navy.mil/rda/DASN-P/Pages/NMCAR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