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**ID__NMCARS_Annex-16__ID**</w:t>
      </w:r>
    </w:p>
    <w:p>
      <w:pPr>
        <w:pStyle w:val="Heading1"/>
        <w:spacing w:after="161"/>
        <w:ind w:left="120"/>
        <w:jc w:val="center"/>
      </w:pPr>
      <w:r>
        <w:rPr>
          <w:rFonts w:ascii="Times New Roman" w:hAnsi="Times New Roman"/>
          <w:color w:val="000000"/>
        </w:rPr>
        <w:t xml:space="preserve">ANNEX 16 – STATEMENT OF WORK LANGUAGE IMPLEMENTING “THE DIB” MEMO </w:t>
      </w:r>
      <w:r>
        <w:rPr>
          <w:rFonts w:ascii="Times New Roman" w:hAnsi="Times New Roman"/>
          <w:color w:val="000000"/>
        </w:rPr>
        <w:t>**ref__NMCARS_Annex-16__ref**</w:t>
      </w:r>
    </w:p>
    <w:p>
      <w:pPr>
        <w:pBdr>
          <w:top w:space="5"/>
          <w:left w:space="5"/>
          <w:bottom w:space="5"/>
          <w:right w:space="5"/>
        </w:pBdr>
        <w:spacing w:after="0"/>
        <w:ind w:left="225"/>
        <w:jc w:val="left"/>
      </w:pPr>
      <w:r>
        <w:rPr>
          <w:rFonts w:ascii="Times New Roman" w:hAnsi="Times New Roman"/>
          <w:b w:val="false"/>
          <w:i w:val="false"/>
          <w:color w:val="000000"/>
          <w:sz w:val="22"/>
        </w:rP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w:pPr>
        <w:numPr>
          <w:ilvl w:val="0"/>
          <w:numId w:val="1"/>
        </w:numPr>
        <w:spacing w:after="0"/>
        <w:jc w:val="left"/>
      </w:pPr>
      <w:r>
        <w:rPr>
          <w:rFonts w:ascii="Times New Roman" w:hAnsi="Times New Roman"/>
          <w:b w:val="false"/>
          <w:i w:val="false"/>
          <w:color w:val="000000"/>
          <w:sz w:val="22"/>
        </w:rPr>
        <w:t>**ID__yermJv__ID**</w:t>
      </w:r>
      <w:r>
        <w:rPr>
          <w:rFonts w:ascii="Times New Roman" w:hAnsi="Times New Roman"/>
          <w:b w:val="false"/>
          <w:i w:val="false"/>
          <w:color w:val="000000"/>
          <w:sz w:val="22"/>
        </w:rPr>
        <w:t xml:space="preserve"> </w:t>
      </w:r>
      <w:r>
        <w:rPr>
          <w:rFonts w:ascii="Times New Roman" w:hAnsi="Times New Roman"/>
          <w:b/>
          <w:i w:val="false"/>
          <w:color w:val="000000"/>
          <w:sz w:val="22"/>
        </w:rPr>
        <w:t>1.</w:t>
      </w:r>
      <w:r>
        <w:rPr>
          <w:rFonts w:ascii="Times New Roman" w:hAnsi="Times New Roman"/>
          <w:b w:val="false"/>
          <w:i w:val="false"/>
          <w:color w:val="000000"/>
          <w:sz w:val="22"/>
        </w:rPr>
        <w:t xml:space="preserve"> </w:t>
      </w:r>
      <w:r>
        <w:rPr>
          <w:rFonts w:ascii="Times New Roman" w:hAnsi="Times New Roman"/>
          <w:b/>
          <w:i w:val="false"/>
          <w:color w:val="000000"/>
          <w:sz w:val="22"/>
          <w:u w:val="single"/>
        </w:rPr>
        <w:t>System Security Plan and Plans of Action and Milestones (SSP/POAM) Reviews</w:t>
      </w:r>
    </w:p>
    <w:p>
      <w:pPr>
        <w:pBdr>
          <w:top w:space="5"/>
          <w:left w:space="5"/>
          <w:bottom w:space="5"/>
          <w:right w:space="5"/>
        </w:pBdr>
        <w:spacing w:after="0"/>
        <w:ind w:left="1065"/>
        <w:jc w:val="left"/>
      </w:pPr>
    </w:p>
    <w:p>
      <w:pPr>
        <w:pBdr>
          <w:top w:space="5"/>
          <w:left w:space="5"/>
          <w:bottom w:space="5"/>
          <w:right w:space="5"/>
        </w:pBdr>
        <w:spacing w:after="0"/>
        <w:ind w:left="1065"/>
        <w:jc w:val="left"/>
      </w:pPr>
    </w:p>
    <w:p>
      <w:pPr>
        <w:numPr>
          <w:ilvl w:val="1"/>
          <w:numId w:val="1"/>
        </w:numPr>
        <w:spacing w:after="0"/>
        <w:jc w:val="left"/>
      </w:pPr>
      <w:r>
        <w:rPr>
          <w:rFonts w:ascii="Times New Roman" w:hAnsi="Times New Roman"/>
          <w:b w:val="false"/>
          <w:i w:val="false"/>
          <w:color w:val="000000"/>
          <w:sz w:val="22"/>
        </w:rPr>
        <w:t>**ID__oObDvf__ID**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pPr>
        <w:numPr>
          <w:ilvl w:val="1"/>
          <w:numId w:val="1"/>
        </w:numPr>
        <w:spacing w:after="0"/>
        <w:jc w:val="left"/>
      </w:pPr>
      <w:r>
        <w:rPr>
          <w:rFonts w:ascii="Times New Roman" w:hAnsi="Times New Roman"/>
          <w:b w:val="false"/>
          <w:i w:val="false"/>
          <w:color w:val="000000"/>
          <w:sz w:val="22"/>
        </w:rPr>
        <w:t>**ID__hXUdSq__ID**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pPr>
        <w:numPr>
          <w:ilvl w:val="1"/>
          <w:numId w:val="1"/>
        </w:numPr>
        <w:spacing w:after="0"/>
        <w:jc w:val="left"/>
      </w:pPr>
      <w:r>
        <w:rPr>
          <w:rFonts w:ascii="Times New Roman" w:hAnsi="Times New Roman"/>
          <w:b w:val="false"/>
          <w:i w:val="false"/>
          <w:color w:val="000000"/>
          <w:sz w:val="22"/>
        </w:rPr>
        <w:t>**ID__JlitwQ__ID**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pPr>
        <w:numPr>
          <w:ilvl w:val="1"/>
          <w:numId w:val="1"/>
        </w:numPr>
        <w:spacing w:after="0"/>
        <w:jc w:val="left"/>
      </w:pPr>
      <w:r>
        <w:rPr>
          <w:rFonts w:ascii="Times New Roman" w:hAnsi="Times New Roman"/>
          <w:b w:val="false"/>
          <w:i w:val="false"/>
          <w:color w:val="000000"/>
          <w:sz w:val="22"/>
        </w:rPr>
        <w:t>**ID__MiVbwJ__ID**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p>
    <w:p>
      <w:pPr>
        <w:numPr>
          <w:ilvl w:val="0"/>
          <w:numId w:val="1"/>
        </w:numPr>
        <w:spacing w:after="0"/>
        <w:jc w:val="left"/>
      </w:pPr>
      <w:r>
        <w:rPr>
          <w:rFonts w:ascii="Times New Roman" w:hAnsi="Times New Roman"/>
          <w:b w:val="false"/>
          <w:i w:val="false"/>
          <w:color w:val="000000"/>
          <w:sz w:val="22"/>
        </w:rPr>
        <w:t>**ID__xeDnYU__ID**</w:t>
      </w:r>
      <w:r>
        <w:rPr>
          <w:rFonts w:ascii="Times New Roman" w:hAnsi="Times New Roman"/>
          <w:b w:val="false"/>
          <w:i w:val="false"/>
          <w:color w:val="000000"/>
          <w:sz w:val="22"/>
        </w:rPr>
        <w:t xml:space="preserve"> </w:t>
      </w:r>
      <w:r>
        <w:rPr>
          <w:rFonts w:ascii="Times New Roman" w:hAnsi="Times New Roman"/>
          <w:b/>
          <w:i w:val="false"/>
          <w:color w:val="000000"/>
          <w:sz w:val="22"/>
        </w:rPr>
        <w:t>2.</w:t>
      </w:r>
      <w:r>
        <w:rPr>
          <w:rFonts w:ascii="Times New Roman" w:hAnsi="Times New Roman"/>
          <w:b w:val="false"/>
          <w:i w:val="false"/>
          <w:color w:val="000000"/>
          <w:sz w:val="22"/>
        </w:rPr>
        <w:t xml:space="preserve"> </w:t>
      </w:r>
      <w:r>
        <w:rPr>
          <w:rFonts w:ascii="Times New Roman" w:hAnsi="Times New Roman"/>
          <w:b/>
          <w:i w:val="false"/>
          <w:color w:val="000000"/>
          <w:sz w:val="22"/>
          <w:u w:val="single"/>
        </w:rPr>
        <w:t>Compliance to NI</w:t>
      </w:r>
      <w:r>
        <w:rPr>
          <w:rFonts w:ascii="Times New Roman" w:hAnsi="Times New Roman"/>
          <w:b/>
          <w:i w:val="false"/>
          <w:color w:val="000000"/>
          <w:sz w:val="22"/>
          <w:u w:val="single"/>
        </w:rPr>
        <w:t>ST 800-171</w:t>
      </w:r>
    </w:p>
    <w:p>
      <w:pPr>
        <w:pBdr>
          <w:top w:space="5"/>
          <w:left w:space="5"/>
          <w:bottom w:space="5"/>
          <w:right w:space="5"/>
        </w:pBdr>
        <w:spacing w:after="0"/>
        <w:ind w:left="1065"/>
        <w:jc w:val="left"/>
      </w:pPr>
    </w:p>
    <w:p>
      <w:pPr>
        <w:numPr>
          <w:ilvl w:val="1"/>
          <w:numId w:val="2"/>
        </w:numPr>
        <w:spacing w:after="0"/>
        <w:jc w:val="left"/>
      </w:pPr>
      <w:r>
        <w:rPr>
          <w:rFonts w:ascii="Times New Roman" w:hAnsi="Times New Roman"/>
          <w:b w:val="false"/>
          <w:i w:val="false"/>
          <w:color w:val="000000"/>
          <w:sz w:val="22"/>
        </w:rPr>
        <w:t>**ID__dxlVhW__ID**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p>
    <w:p>
      <w:pPr>
        <w:numPr>
          <w:ilvl w:val="1"/>
          <w:numId w:val="2"/>
        </w:numPr>
        <w:spacing w:after="0"/>
        <w:jc w:val="left"/>
      </w:pPr>
      <w:r>
        <w:rPr>
          <w:rFonts w:ascii="Times New Roman" w:hAnsi="Times New Roman"/>
          <w:b w:val="false"/>
          <w:i w:val="false"/>
          <w:color w:val="000000"/>
          <w:sz w:val="22"/>
        </w:rPr>
        <w:t>**ID__QBRiaZ__ID**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Notwithstanding the allowance for such variation, the contractor shall identify in any SSP and POA&amp;M their plans to implement the following, at a minimum:</w:t>
      </w:r>
    </w:p>
    <w:p>
      <w:pPr>
        <w:numPr>
          <w:ilvl w:val="2"/>
          <w:numId w:val="2"/>
        </w:numPr>
        <w:spacing w:after="0"/>
        <w:jc w:val="left"/>
      </w:pPr>
      <w:r>
        <w:rPr>
          <w:rFonts w:ascii="Times New Roman" w:hAnsi="Times New Roman"/>
          <w:b w:val="false"/>
          <w:i w:val="false"/>
          <w:color w:val="000000"/>
          <w:sz w:val="22"/>
        </w:rPr>
        <w:t>**ID__FAgcvH__ID**</w:t>
      </w:r>
      <w:r>
        <w:rPr>
          <w:rFonts w:ascii="Times New Roman" w:hAnsi="Times New Roman"/>
          <w:b w:val="false"/>
          <w:i w:val="false"/>
          <w:color w:val="000000"/>
          <w:sz w:val="22"/>
        </w:rPr>
        <w:t xml:space="preserve"> </w:t>
      </w:r>
      <w:r>
        <w:rPr>
          <w:rFonts w:ascii="Times New Roman" w:hAnsi="Times New Roman"/>
          <w:b w:val="false"/>
          <w:i w:val="false"/>
          <w:color w:val="000000"/>
          <w:sz w:val="22"/>
        </w:rPr>
        <w:t>(1)</w:t>
      </w:r>
      <w:r>
        <w:rPr>
          <w:rFonts w:ascii="Times New Roman" w:hAnsi="Times New Roman"/>
          <w:b w:val="false"/>
          <w:i w:val="false"/>
          <w:color w:val="000000"/>
          <w:sz w:val="22"/>
        </w:rPr>
        <w:t xml:space="preserve"> 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p>
    <w:p>
      <w:pPr>
        <w:numPr>
          <w:ilvl w:val="2"/>
          <w:numId w:val="2"/>
        </w:numPr>
        <w:spacing w:after="0"/>
        <w:jc w:val="left"/>
      </w:pPr>
      <w:r>
        <w:rPr>
          <w:rFonts w:ascii="Times New Roman" w:hAnsi="Times New Roman"/>
          <w:b w:val="false"/>
          <w:i w:val="false"/>
          <w:color w:val="000000"/>
          <w:sz w:val="22"/>
        </w:rPr>
        <w:t>**ID__PqDwXV__ID**</w:t>
      </w:r>
      <w:r>
        <w:rPr>
          <w:rFonts w:ascii="Times New Roman" w:hAnsi="Times New Roman"/>
          <w:b w:val="false"/>
          <w:i w:val="false"/>
          <w:color w:val="000000"/>
          <w:sz w:val="22"/>
        </w:rPr>
        <w:t xml:space="preserve"> </w:t>
      </w:r>
      <w:r>
        <w:rPr>
          <w:rFonts w:ascii="Times New Roman" w:hAnsi="Times New Roman"/>
          <w:b w:val="false"/>
          <w:i w:val="false"/>
          <w:color w:val="000000"/>
          <w:sz w:val="22"/>
        </w:rPr>
        <w:t>(2)</w:t>
      </w:r>
      <w:r>
        <w:rPr>
          <w:rFonts w:ascii="Times New Roman" w:hAnsi="Times New Roman"/>
          <w:b w:val="false"/>
          <w:i w:val="false"/>
          <w:color w:val="000000"/>
          <w:sz w:val="22"/>
        </w:rPr>
        <w:t xml:space="preserve"> 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pPr>
        <w:numPr>
          <w:ilvl w:val="2"/>
          <w:numId w:val="2"/>
        </w:numPr>
        <w:spacing w:after="0"/>
        <w:jc w:val="left"/>
      </w:pPr>
      <w:r>
        <w:rPr>
          <w:rFonts w:ascii="Times New Roman" w:hAnsi="Times New Roman"/>
          <w:b w:val="false"/>
          <w:i w:val="false"/>
          <w:color w:val="000000"/>
          <w:sz w:val="22"/>
        </w:rPr>
        <w:t>**ID__sUqLmm__ID**</w:t>
      </w:r>
      <w:r>
        <w:rPr>
          <w:rFonts w:ascii="Times New Roman" w:hAnsi="Times New Roman"/>
          <w:b w:val="false"/>
          <w:i w:val="false"/>
          <w:color w:val="000000"/>
          <w:sz w:val="22"/>
        </w:rPr>
        <w:t xml:space="preserve"> </w:t>
      </w:r>
      <w:r>
        <w:rPr>
          <w:rFonts w:ascii="Times New Roman" w:hAnsi="Times New Roman"/>
          <w:b w:val="false"/>
          <w:i w:val="false"/>
          <w:color w:val="000000"/>
          <w:sz w:val="22"/>
        </w:rPr>
        <w:t>(3)</w:t>
      </w:r>
      <w:r>
        <w:rPr>
          <w:rFonts w:ascii="Times New Roman" w:hAnsi="Times New Roman"/>
          <w:b w:val="false"/>
          <w:i w:val="false"/>
          <w:color w:val="000000"/>
          <w:sz w:val="22"/>
        </w:rPr>
        <w:t xml:space="preserve"> Implement Control 3.1.12 (monitoring and control remote access sessions) - Require monitoring and controlling of remote access sessions and include mechanisms to audit the sessions and methods.</w:t>
      </w:r>
    </w:p>
    <w:p>
      <w:pPr>
        <w:numPr>
          <w:ilvl w:val="2"/>
          <w:numId w:val="2"/>
        </w:numPr>
        <w:spacing w:after="0"/>
        <w:jc w:val="left"/>
      </w:pPr>
      <w:r>
        <w:rPr>
          <w:rFonts w:ascii="Times New Roman" w:hAnsi="Times New Roman"/>
          <w:b w:val="false"/>
          <w:i w:val="false"/>
          <w:color w:val="000000"/>
          <w:sz w:val="22"/>
        </w:rPr>
        <w:t>**ID__vxDMCH__ID**</w:t>
      </w:r>
      <w:r>
        <w:rPr>
          <w:rFonts w:ascii="Times New Roman" w:hAnsi="Times New Roman"/>
          <w:b w:val="false"/>
          <w:i w:val="false"/>
          <w:color w:val="000000"/>
          <w:sz w:val="22"/>
        </w:rPr>
        <w:t xml:space="preserve"> </w:t>
      </w:r>
      <w:r>
        <w:rPr>
          <w:rFonts w:ascii="Times New Roman" w:hAnsi="Times New Roman"/>
          <w:b w:val="false"/>
          <w:i w:val="false"/>
          <w:color w:val="000000"/>
          <w:sz w:val="22"/>
        </w:rPr>
        <w:t>(4)</w:t>
      </w:r>
      <w:r>
        <w:rPr>
          <w:rFonts w:ascii="Times New Roman" w:hAnsi="Times New Roman"/>
          <w:b w:val="false"/>
          <w:i w:val="false"/>
          <w:color w:val="000000"/>
          <w:sz w:val="22"/>
        </w:rPr>
        <w:t xml:space="preserve"> Audit user privileges on at least an annual basis;</w:t>
      </w:r>
    </w:p>
    <w:p>
      <w:pPr>
        <w:numPr>
          <w:ilvl w:val="2"/>
          <w:numId w:val="2"/>
        </w:numPr>
        <w:spacing w:after="0"/>
        <w:jc w:val="left"/>
      </w:pPr>
      <w:r>
        <w:rPr>
          <w:rFonts w:ascii="Times New Roman" w:hAnsi="Times New Roman"/>
          <w:b w:val="false"/>
          <w:i w:val="false"/>
          <w:color w:val="000000"/>
          <w:sz w:val="22"/>
        </w:rPr>
        <w:t>**ID__UCRCEV__ID**</w:t>
      </w:r>
      <w:r>
        <w:rPr>
          <w:rFonts w:ascii="Times New Roman" w:hAnsi="Times New Roman"/>
          <w:b w:val="false"/>
          <w:i w:val="false"/>
          <w:color w:val="000000"/>
          <w:sz w:val="22"/>
        </w:rPr>
        <w:t xml:space="preserve"> </w:t>
      </w:r>
      <w:r>
        <w:rPr>
          <w:rFonts w:ascii="Times New Roman" w:hAnsi="Times New Roman"/>
          <w:b w:val="false"/>
          <w:i w:val="false"/>
          <w:color w:val="000000"/>
          <w:sz w:val="22"/>
        </w:rPr>
        <w:t>(5)</w:t>
      </w:r>
      <w:r>
        <w:rPr>
          <w:rFonts w:ascii="Times New Roman" w:hAnsi="Times New Roman"/>
          <w:b w:val="false"/>
          <w:i w:val="false"/>
          <w:color w:val="000000"/>
          <w:sz w:val="22"/>
        </w:rPr>
        <w:t xml:space="preserve"> Implement:</w:t>
      </w:r>
    </w:p>
    <w:p>
      <w:pPr>
        <w:numPr>
          <w:ilvl w:val="3"/>
          <w:numId w:val="2"/>
        </w:numPr>
        <w:spacing w:after="0"/>
        <w:jc w:val="left"/>
      </w:pPr>
      <w:r>
        <w:rPr>
          <w:rFonts w:ascii="Times New Roman" w:hAnsi="Times New Roman"/>
          <w:b w:val="false"/>
          <w:i w:val="false"/>
          <w:color w:val="000000"/>
          <w:sz w:val="22"/>
        </w:rPr>
        <w:t>**ID__WzeCQl__ID**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Control 3.13.11 (FIPS 140-2 validated cryptology or implementation of NSA or NIST approved algorithms (i.e. FIPS 140-2 Annex A: AES or Triple DES) or compensating controls as documented in a SSP and POAM); and,</w:t>
      </w:r>
    </w:p>
    <w:p>
      <w:pPr>
        <w:numPr>
          <w:ilvl w:val="3"/>
          <w:numId w:val="2"/>
        </w:numPr>
        <w:spacing w:after="0"/>
        <w:jc w:val="left"/>
      </w:pPr>
      <w:r>
        <w:rPr>
          <w:rFonts w:ascii="Times New Roman" w:hAnsi="Times New Roman"/>
          <w:b w:val="false"/>
          <w:i w:val="false"/>
          <w:color w:val="000000"/>
          <w:sz w:val="22"/>
        </w:rPr>
        <w:t>**ID__VyNNLD__ID**</w:t>
      </w:r>
      <w:r>
        <w:rPr>
          <w:rFonts w:ascii="Times New Roman" w:hAnsi="Times New Roman"/>
          <w:b w:val="false"/>
          <w:i w:val="false"/>
          <w:color w:val="000000"/>
          <w:sz w:val="22"/>
        </w:rPr>
        <w:t xml:space="preserve"> </w:t>
      </w:r>
      <w:r>
        <w:rPr>
          <w:rFonts w:ascii="Times New Roman" w:hAnsi="Times New Roman"/>
          <w:b w:val="false"/>
          <w:i w:val="false"/>
          <w:color w:val="000000"/>
          <w:sz w:val="22"/>
        </w:rPr>
        <w:t>ii.</w:t>
      </w:r>
      <w:r>
        <w:rPr>
          <w:rFonts w:ascii="Times New Roman" w:hAnsi="Times New Roman"/>
          <w:b w:val="false"/>
          <w:i w:val="false"/>
          <w:color w:val="000000"/>
          <w:sz w:val="22"/>
        </w:rPr>
        <w:t xml:space="preserve"> NIST Cryptographic Algorithm Validation Program (CAVP) (see https://csrc.nist.gov/projects/cryptographic-algorithm-validation-program);</w:t>
      </w:r>
    </w:p>
    <w:p>
      <w:pPr>
        <w:numPr>
          <w:ilvl w:val="2"/>
          <w:numId w:val="2"/>
        </w:numPr>
        <w:spacing w:after="0"/>
        <w:jc w:val="left"/>
      </w:pPr>
      <w:r>
        <w:rPr>
          <w:rFonts w:ascii="Times New Roman" w:hAnsi="Times New Roman"/>
          <w:b w:val="false"/>
          <w:i w:val="false"/>
          <w:color w:val="000000"/>
          <w:sz w:val="22"/>
        </w:rPr>
        <w:t>**ID__AgfRnX__ID**</w:t>
      </w:r>
      <w:r>
        <w:rPr>
          <w:rFonts w:ascii="Times New Roman" w:hAnsi="Times New Roman"/>
          <w:b w:val="false"/>
          <w:i w:val="false"/>
          <w:color w:val="000000"/>
          <w:sz w:val="22"/>
        </w:rPr>
        <w:t xml:space="preserve"> </w:t>
      </w:r>
      <w:r>
        <w:rPr>
          <w:rFonts w:ascii="Times New Roman" w:hAnsi="Times New Roman"/>
          <w:b w:val="false"/>
          <w:i w:val="false"/>
          <w:color w:val="000000"/>
          <w:sz w:val="22"/>
        </w:rPr>
        <w:t>(6)</w:t>
      </w:r>
      <w:r>
        <w:rPr>
          <w:rFonts w:ascii="Times New Roman" w:hAnsi="Times New Roman"/>
          <w:b w:val="false"/>
          <w:i w:val="false"/>
          <w:color w:val="000000"/>
          <w:sz w:val="22"/>
        </w:rPr>
        <w:t xml:space="preserve"> Implement Control 3.13.16 (Protect the confidentiality of CUI at rest) or provide a POAM for implementation which shall be evaluated by the Navy for risk acceptance.</w:t>
      </w:r>
    </w:p>
    <w:p>
      <w:pPr>
        <w:numPr>
          <w:ilvl w:val="2"/>
          <w:numId w:val="2"/>
        </w:numPr>
        <w:spacing w:after="0"/>
        <w:jc w:val="left"/>
      </w:pPr>
      <w:r>
        <w:rPr>
          <w:rFonts w:ascii="Times New Roman" w:hAnsi="Times New Roman"/>
          <w:b w:val="false"/>
          <w:i w:val="false"/>
          <w:color w:val="000000"/>
          <w:sz w:val="22"/>
        </w:rPr>
        <w:t>**ID__xkvuvj__ID**</w:t>
      </w:r>
      <w:r>
        <w:rPr>
          <w:rFonts w:ascii="Times New Roman" w:hAnsi="Times New Roman"/>
          <w:b w:val="false"/>
          <w:i w:val="false"/>
          <w:color w:val="000000"/>
          <w:sz w:val="22"/>
        </w:rPr>
        <w:t xml:space="preserve"> </w:t>
      </w:r>
      <w:r>
        <w:rPr>
          <w:rFonts w:ascii="Times New Roman" w:hAnsi="Times New Roman"/>
          <w:b w:val="false"/>
          <w:i w:val="false"/>
          <w:color w:val="000000"/>
          <w:sz w:val="22"/>
        </w:rPr>
        <w:t>(7)</w:t>
      </w:r>
      <w:r>
        <w:rPr>
          <w:rFonts w:ascii="Times New Roman" w:hAnsi="Times New Roman"/>
          <w:b w:val="false"/>
          <w:i w:val="false"/>
          <w:color w:val="000000"/>
          <w:sz w:val="22"/>
        </w:rPr>
        <w:t xml:space="preserve"> Implement Control 3.1.19 (encrypt CUI on mobile devices) or provide a plan of action for implementation which can be evaluated by the Government Program Manager for risk to the program.</w:t>
      </w:r>
    </w:p>
    <w:p>
      <w:pPr>
        <w:numPr>
          <w:ilvl w:val="0"/>
          <w:numId w:val="1"/>
        </w:numPr>
        <w:spacing w:after="0"/>
        <w:jc w:val="left"/>
      </w:pPr>
      <w:r>
        <w:rPr>
          <w:rFonts w:ascii="Times New Roman" w:hAnsi="Times New Roman"/>
          <w:b w:val="false"/>
          <w:i w:val="false"/>
          <w:color w:val="000000"/>
          <w:sz w:val="22"/>
        </w:rPr>
        <w:t>**ID__XfBDop__ID**</w:t>
      </w:r>
      <w:r>
        <w:rPr>
          <w:rFonts w:ascii="Times New Roman" w:hAnsi="Times New Roman"/>
          <w:b w:val="false"/>
          <w:i w:val="false"/>
          <w:color w:val="000000"/>
          <w:sz w:val="22"/>
        </w:rPr>
        <w:t xml:space="preserve"> </w:t>
      </w:r>
      <w:r>
        <w:rPr>
          <w:rFonts w:ascii="Times New Roman" w:hAnsi="Times New Roman"/>
          <w:b/>
          <w:i w:val="false"/>
          <w:color w:val="000000"/>
          <w:sz w:val="22"/>
        </w:rPr>
        <w:t>3.</w:t>
      </w:r>
      <w:r>
        <w:rPr>
          <w:rFonts w:ascii="Times New Roman" w:hAnsi="Times New Roman"/>
          <w:b w:val="false"/>
          <w:i w:val="false"/>
          <w:color w:val="000000"/>
          <w:sz w:val="22"/>
        </w:rPr>
        <w:t xml:space="preserve"> </w:t>
      </w:r>
      <w:r>
        <w:rPr>
          <w:rFonts w:ascii="Times New Roman" w:hAnsi="Times New Roman"/>
          <w:b/>
          <w:i w:val="false"/>
          <w:color w:val="000000"/>
          <w:sz w:val="22"/>
          <w:u w:val="single"/>
        </w:rPr>
        <w:t>Cyber Incident Response:</w:t>
      </w:r>
    </w:p>
    <w:p>
      <w:pPr>
        <w:numPr>
          <w:ilvl w:val="1"/>
          <w:numId w:val="3"/>
        </w:numPr>
        <w:spacing w:after="0"/>
        <w:jc w:val="left"/>
      </w:pPr>
      <w:r>
        <w:rPr>
          <w:rFonts w:ascii="Times New Roman" w:hAnsi="Times New Roman"/>
          <w:b w:val="false"/>
          <w:i w:val="false"/>
          <w:color w:val="000000"/>
          <w:sz w:val="22"/>
        </w:rPr>
        <w:t>**ID__RKjlFR__ID**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p>
    <w:p>
      <w:pPr>
        <w:numPr>
          <w:ilvl w:val="1"/>
          <w:numId w:val="3"/>
        </w:numPr>
        <w:spacing w:after="0"/>
        <w:jc w:val="left"/>
      </w:pPr>
      <w:r>
        <w:rPr>
          <w:rFonts w:ascii="Times New Roman" w:hAnsi="Times New Roman"/>
          <w:b w:val="false"/>
          <w:i w:val="false"/>
          <w:color w:val="000000"/>
          <w:sz w:val="22"/>
        </w:rPr>
        <w:t>**ID__OifIjE__ID**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p>
    <w:p>
      <w:pPr>
        <w:numPr>
          <w:ilvl w:val="1"/>
          <w:numId w:val="3"/>
        </w:numPr>
        <w:spacing w:after="0"/>
        <w:jc w:val="left"/>
      </w:pPr>
      <w:r>
        <w:rPr>
          <w:rFonts w:ascii="Times New Roman" w:hAnsi="Times New Roman"/>
          <w:b w:val="false"/>
          <w:i w:val="false"/>
          <w:color w:val="000000"/>
          <w:sz w:val="22"/>
        </w:rPr>
        <w:t>**ID__ERrlTa__ID**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pPr>
        <w:numPr>
          <w:ilvl w:val="0"/>
          <w:numId w:val="1"/>
        </w:numPr>
        <w:spacing w:after="0"/>
        <w:jc w:val="left"/>
      </w:pPr>
      <w:r>
        <w:rPr>
          <w:rFonts w:ascii="Times New Roman" w:hAnsi="Times New Roman"/>
          <w:b w:val="false"/>
          <w:i w:val="false"/>
          <w:color w:val="000000"/>
          <w:sz w:val="22"/>
        </w:rPr>
        <w:t>**ID__fZrHhv__ID**</w:t>
      </w:r>
      <w:r>
        <w:rPr>
          <w:rFonts w:ascii="Times New Roman" w:hAnsi="Times New Roman"/>
          <w:b w:val="false"/>
          <w:i w:val="false"/>
          <w:color w:val="000000"/>
          <w:sz w:val="22"/>
        </w:rPr>
        <w:t xml:space="preserve"> </w:t>
      </w:r>
      <w:r>
        <w:rPr>
          <w:rFonts w:ascii="Times New Roman" w:hAnsi="Times New Roman"/>
          <w:b/>
          <w:i w:val="false"/>
          <w:color w:val="000000"/>
          <w:sz w:val="22"/>
        </w:rPr>
        <w:t>4.</w:t>
      </w:r>
      <w:r>
        <w:rPr>
          <w:rFonts w:ascii="Times New Roman" w:hAnsi="Times New Roman"/>
          <w:b w:val="false"/>
          <w:i w:val="false"/>
          <w:color w:val="000000"/>
          <w:sz w:val="22"/>
        </w:rPr>
        <w:t xml:space="preserve"> </w:t>
      </w:r>
      <w:r>
        <w:rPr>
          <w:rFonts w:ascii="Times New Roman" w:hAnsi="Times New Roman"/>
          <w:b/>
          <w:i w:val="false"/>
          <w:color w:val="000000"/>
          <w:sz w:val="22"/>
          <w:u w:val="single"/>
        </w:rPr>
        <w:t>N</w:t>
      </w:r>
      <w:r>
        <w:rPr>
          <w:rFonts w:ascii="Times New Roman" w:hAnsi="Times New Roman"/>
          <w:b/>
          <w:i w:val="false"/>
          <w:color w:val="000000"/>
          <w:sz w:val="22"/>
          <w:u w:val="single"/>
        </w:rPr>
        <w:t>aval</w:t>
      </w:r>
      <w:r>
        <w:rPr>
          <w:rFonts w:ascii="Times New Roman" w:hAnsi="Times New Roman"/>
          <w:b/>
          <w:i w:val="false"/>
          <w:color w:val="000000"/>
          <w:sz w:val="22"/>
          <w:u w:val="single"/>
        </w:rPr>
        <w:t>C</w:t>
      </w:r>
      <w:r>
        <w:rPr>
          <w:rFonts w:ascii="Times New Roman" w:hAnsi="Times New Roman"/>
          <w:b/>
          <w:i w:val="false"/>
          <w:color w:val="000000"/>
          <w:sz w:val="22"/>
          <w:u w:val="single"/>
        </w:rPr>
        <w:t>riminal</w:t>
      </w:r>
      <w:r>
        <w:rPr>
          <w:rFonts w:ascii="Times New Roman" w:hAnsi="Times New Roman"/>
          <w:b/>
          <w:i w:val="false"/>
          <w:color w:val="000000"/>
          <w:sz w:val="22"/>
          <w:u w:val="single"/>
        </w:rPr>
        <w:t>I</w:t>
      </w:r>
      <w:r>
        <w:rPr>
          <w:rFonts w:ascii="Times New Roman" w:hAnsi="Times New Roman"/>
          <w:b/>
          <w:i w:val="false"/>
          <w:color w:val="000000"/>
          <w:sz w:val="22"/>
          <w:u w:val="single"/>
        </w:rPr>
        <w:t>nvestigative</w:t>
      </w:r>
      <w:r>
        <w:rPr>
          <w:rFonts w:ascii="Times New Roman" w:hAnsi="Times New Roman"/>
          <w:b/>
          <w:i w:val="false"/>
          <w:color w:val="000000"/>
          <w:sz w:val="22"/>
          <w:u w:val="single"/>
        </w:rPr>
        <w:t>S</w:t>
      </w:r>
      <w:r>
        <w:rPr>
          <w:rFonts w:ascii="Times New Roman" w:hAnsi="Times New Roman"/>
          <w:b/>
          <w:i w:val="false"/>
          <w:color w:val="000000"/>
          <w:sz w:val="22"/>
          <w:u w:val="single"/>
        </w:rPr>
        <w:t>ervice (NCIS)</w:t>
      </w:r>
      <w:r>
        <w:rPr>
          <w:rFonts w:ascii="Times New Roman" w:hAnsi="Times New Roman"/>
          <w:b/>
          <w:i w:val="false"/>
          <w:color w:val="000000"/>
          <w:sz w:val="22"/>
          <w:u w:val="single"/>
        </w:rPr>
        <w:t>Outreach</w:t>
      </w:r>
    </w:p>
    <w:p>
      <w:pPr>
        <w:pBdr>
          <w:top w:space="5"/>
          <w:left w:space="5"/>
          <w:bottom w:space="5"/>
          <w:right w:space="5"/>
        </w:pBdr>
        <w:spacing w:after="0"/>
        <w:ind w:left="1065"/>
        <w:jc w:val="left"/>
      </w:pPr>
      <w:r>
        <w:rPr>
          <w:rFonts w:ascii="Times New Roman" w:hAnsi="Times New Roman"/>
          <w:b w:val="false"/>
          <w:i w:val="false"/>
          <w:color w:val="000000"/>
          <w:sz w:val="22"/>
        </w:rPr>
        <w:t>The Contractor shall engage with NCIS industry outreach efforts and consider recommendations for hardening of covered contractor information systems affecting DON programs and technologies.</w:t>
      </w:r>
    </w:p>
    <w:p>
      <w:pPr>
        <w:numPr>
          <w:ilvl w:val="0"/>
          <w:numId w:val="1"/>
        </w:numPr>
        <w:spacing w:after="0"/>
        <w:jc w:val="left"/>
      </w:pPr>
      <w:r>
        <w:rPr>
          <w:rFonts w:ascii="Times New Roman" w:hAnsi="Times New Roman"/>
          <w:b w:val="false"/>
          <w:i w:val="false"/>
          <w:color w:val="000000"/>
          <w:sz w:val="22"/>
        </w:rPr>
        <w:t>**ID__mmWeHQ__ID**</w:t>
      </w:r>
      <w:r>
        <w:rPr>
          <w:rFonts w:ascii="Times New Roman" w:hAnsi="Times New Roman"/>
          <w:b w:val="false"/>
          <w:i w:val="false"/>
          <w:color w:val="000000"/>
          <w:sz w:val="22"/>
        </w:rPr>
        <w:t xml:space="preserve"> </w:t>
      </w:r>
      <w:r>
        <w:rPr>
          <w:rFonts w:ascii="Times New Roman" w:hAnsi="Times New Roman"/>
          <w:b/>
          <w:i w:val="false"/>
          <w:color w:val="000000"/>
          <w:sz w:val="22"/>
        </w:rPr>
        <w:t>5.</w:t>
      </w:r>
      <w:r>
        <w:rPr>
          <w:rFonts w:ascii="Times New Roman" w:hAnsi="Times New Roman"/>
          <w:b w:val="false"/>
          <w:i w:val="false"/>
          <w:color w:val="000000"/>
          <w:sz w:val="22"/>
        </w:rPr>
        <w:t xml:space="preserve"> </w:t>
      </w:r>
      <w:r>
        <w:rPr>
          <w:rFonts w:ascii="Times New Roman" w:hAnsi="Times New Roman"/>
          <w:b/>
          <w:i w:val="false"/>
          <w:color w:val="000000"/>
          <w:sz w:val="22"/>
          <w:u w:val="single"/>
        </w:rPr>
        <w:t>NCIS/Industry Monitoring</w:t>
      </w:r>
      <w:r>
        <w:rPr>
          <w:rFonts w:ascii="Times New Roman" w:hAnsi="Times New Roman"/>
          <w:b/>
          <w:i w:val="false"/>
          <w:color w:val="000000"/>
          <w:sz w:val="22"/>
        </w:rPr>
        <w:t>​​​​​</w:t>
      </w:r>
    </w:p>
    <w:p>
      <w:pPr>
        <w:numPr>
          <w:ilvl w:val="1"/>
          <w:numId w:val="4"/>
        </w:numPr>
        <w:spacing w:after="0"/>
        <w:jc w:val="left"/>
      </w:pPr>
      <w:r>
        <w:rPr>
          <w:rFonts w:ascii="Times New Roman" w:hAnsi="Times New Roman"/>
          <w:b w:val="false"/>
          <w:i w:val="false"/>
          <w:color w:val="000000"/>
          <w:sz w:val="22"/>
        </w:rPr>
        <w:t>**ID__TDSBHX__ID**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p>
    <w:p>
      <w:pPr>
        <w:numPr>
          <w:ilvl w:val="1"/>
          <w:numId w:val="4"/>
        </w:numPr>
        <w:spacing w:after="0"/>
        <w:jc w:val="left"/>
      </w:pPr>
      <w:r>
        <w:rPr>
          <w:rFonts w:ascii="Times New Roman" w:hAnsi="Times New Roman"/>
          <w:b w:val="false"/>
          <w:i w:val="false"/>
          <w:color w:val="000000"/>
          <w:sz w:val="22"/>
        </w:rPr>
        <w:t>**ID__BiLYci__ID**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pPr>
        <w:numPr>
          <w:ilvl w:val="1"/>
          <w:numId w:val="4"/>
        </w:numPr>
        <w:spacing w:after="0"/>
        <w:jc w:val="left"/>
      </w:pPr>
      <w:r>
        <w:rPr>
          <w:rFonts w:ascii="Times New Roman" w:hAnsi="Times New Roman"/>
          <w:b w:val="false"/>
          <w:i w:val="false"/>
          <w:color w:val="000000"/>
          <w:sz w:val="22"/>
        </w:rPr>
        <w:t>**ID__kMmtLz__ID**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In all cases, the collection or provision of data and any activities associated with this statement of work shall be in accordance with federal, state, and non-US law.</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