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**ID__NMCARS_Annex-18__ID**</w:t>
      </w:r>
    </w:p>
    <w:p>
      <w:pPr>
        <w:pStyle w:val="Heading1"/>
        <w:spacing w:after="161"/>
        <w:ind w:left="120"/>
        <w:jc w:val="center"/>
      </w:pPr>
      <w:r>
        <w:rPr>
          <w:rFonts w:ascii="Times New Roman" w:hAnsi="Times New Roman"/>
          <w:color w:val="000000"/>
        </w:rPr>
        <w:t>ANNEX 18</w:t>
      </w:r>
      <w:r>
        <w:rPr>
          <w:rFonts w:ascii="Times New Roman" w:hAnsi="Times New Roman"/>
          <w:color w:val="000000"/>
        </w:rPr>
        <w:t xml:space="preserve"> – INDIVIDUAL STREAMLINED ACQUISITION PLAN (ISTRAP) </w:t>
      </w:r>
      <w:r>
        <w:rPr>
          <w:rFonts w:ascii="Times New Roman" w:hAnsi="Times New Roman"/>
          <w:color w:val="000000"/>
        </w:rPr>
        <w:t>**ref__NMCARS_Annex-18__ref**</w:t>
      </w:r>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numPr>
          <w:ilvl w:val="0"/>
          <w:numId w:val="1"/>
        </w:numPr>
        <w:spacing w:after="0"/>
        <w:jc w:val="left"/>
      </w:pPr>
      <w:r>
        <w:rPr>
          <w:rFonts w:ascii="Times New Roman" w:hAnsi="Times New Roman"/>
          <w:b w:val="false"/>
          <w:i w:val="false"/>
          <w:color w:val="000000"/>
          <w:sz w:val="22"/>
        </w:rPr>
        <w:t>**ID__NoMXfx__ID**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numPr>
          <w:ilvl w:val="0"/>
          <w:numId w:val="1"/>
        </w:numPr>
        <w:spacing w:after="0"/>
        <w:jc w:val="left"/>
      </w:pPr>
      <w:r>
        <w:rPr>
          <w:rFonts w:ascii="Times New Roman" w:hAnsi="Times New Roman"/>
          <w:b w:val="false"/>
          <w:i w:val="false"/>
          <w:color w:val="000000"/>
          <w:sz w:val="22"/>
        </w:rPr>
        <w:t>**ID__haDDPy__ID**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The identification of items that are available only from sources outside the national technology and industrial base.</w:t>
      </w:r>
    </w:p>
    <w:p>
      <w:pPr>
        <w:numPr>
          <w:ilvl w:val="0"/>
          <w:numId w:val="1"/>
        </w:numPr>
        <w:spacing w:after="0"/>
        <w:jc w:val="left"/>
      </w:pPr>
      <w:r>
        <w:rPr>
          <w:rFonts w:ascii="Times New Roman" w:hAnsi="Times New Roman"/>
          <w:b w:val="false"/>
          <w:i w:val="false"/>
          <w:color w:val="000000"/>
          <w:sz w:val="22"/>
        </w:rPr>
        <w:t>**ID__bDfGwb__ID**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numPr>
          <w:ilvl w:val="0"/>
          <w:numId w:val="1"/>
        </w:numPr>
        <w:spacing w:after="0"/>
        <w:jc w:val="left"/>
      </w:pPr>
      <w:r>
        <w:rPr>
          <w:rFonts w:ascii="Times New Roman" w:hAnsi="Times New Roman"/>
          <w:b w:val="false"/>
          <w:i w:val="false"/>
          <w:color w:val="000000"/>
          <w:sz w:val="22"/>
        </w:rPr>
        <w:t>**ID__sp2tr10l__ID**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numPr>
          <w:ilvl w:val="0"/>
          <w:numId w:val="2"/>
        </w:numPr>
        <w:spacing w:after="0"/>
        <w:jc w:val="left"/>
      </w:pPr>
      <w:r>
        <w:rPr>
          <w:rFonts w:ascii="Times New Roman" w:hAnsi="Times New Roman"/>
          <w:b w:val="false"/>
          <w:i w:val="false"/>
          <w:color w:val="000000"/>
          <w:sz w:val="22"/>
        </w:rPr>
        <w:t>**ID__llnawcff__ID**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numPr>
          <w:ilvl w:val="0"/>
          <w:numId w:val="2"/>
        </w:numPr>
        <w:spacing w:after="0"/>
        <w:jc w:val="left"/>
      </w:pPr>
      <w:r>
        <w:rPr>
          <w:rFonts w:ascii="Times New Roman" w:hAnsi="Times New Roman"/>
          <w:b w:val="false"/>
          <w:i w:val="false"/>
          <w:color w:val="000000"/>
          <w:sz w:val="22"/>
        </w:rPr>
        <w:t>**ID__hyhe5f4__ID**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w:t>
      </w:r>
    </w:p>
    <w:p>
      <w:pPr>
        <w:pBdr>
          <w:top w:space="5"/>
          <w:left w:space="5"/>
          <w:bottom w:space="5"/>
          <w:right w:space="5"/>
        </w:pBdr>
        <w:spacing w:after="0"/>
        <w:ind w:left="225"/>
        <w:jc w:val="left"/>
      </w:pPr>
      <w:r>
        <w:rPr>
          <w:rFonts w:ascii="Times New Roman" w:hAnsi="Times New Roman"/>
          <w:b w:val="false"/>
          <w:i w:val="false"/>
          <w:color w:val="000000"/>
          <w:sz w:val="22"/>
        </w:rPr>
        <w:t>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numPr>
          <w:ilvl w:val="0"/>
          <w:numId w:val="3"/>
        </w:numPr>
        <w:spacing w:after="0"/>
        <w:jc w:val="left"/>
      </w:pPr>
      <w:r>
        <w:rPr>
          <w:rFonts w:ascii="Times New Roman" w:hAnsi="Times New Roman"/>
          <w:b w:val="false"/>
          <w:i w:val="false"/>
          <w:color w:val="000000"/>
          <w:sz w:val="22"/>
        </w:rPr>
        <w:t>**ID__s9x79zn__ID**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numPr>
          <w:ilvl w:val="0"/>
          <w:numId w:val="3"/>
        </w:numPr>
        <w:spacing w:after="0"/>
        <w:jc w:val="left"/>
      </w:pPr>
      <w:r>
        <w:rPr>
          <w:rFonts w:ascii="Times New Roman" w:hAnsi="Times New Roman"/>
          <w:b w:val="false"/>
          <w:i w:val="false"/>
          <w:color w:val="000000"/>
          <w:sz w:val="22"/>
        </w:rPr>
        <w:t>**ID__etcgsxcm__ID**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numPr>
          <w:ilvl w:val="0"/>
          <w:numId w:val="4"/>
        </w:numPr>
        <w:spacing w:after="0"/>
        <w:jc w:val="left"/>
      </w:pPr>
      <w:r>
        <w:rPr>
          <w:rFonts w:ascii="Times New Roman" w:hAnsi="Times New Roman"/>
          <w:b w:val="false"/>
          <w:i w:val="false"/>
          <w:color w:val="000000"/>
          <w:sz w:val="22"/>
        </w:rPr>
        <w:t>**ID__ikg1r98s__ID**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development of maintenance capabilities within DOD; or</w:t>
      </w:r>
    </w:p>
    <w:p>
      <w:pPr>
        <w:numPr>
          <w:ilvl w:val="0"/>
          <w:numId w:val="4"/>
        </w:numPr>
        <w:spacing w:after="0"/>
        <w:jc w:val="left"/>
      </w:pPr>
      <w:r>
        <w:rPr>
          <w:rFonts w:ascii="Times New Roman" w:hAnsi="Times New Roman"/>
          <w:b w:val="false"/>
          <w:i w:val="false"/>
          <w:color w:val="000000"/>
          <w:sz w:val="22"/>
        </w:rPr>
        <w:t>**ID__i565vhz6__ID**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contracts under a MDAP, discuss how the following measures were considered:</w:t>
      </w:r>
    </w:p>
    <w:p>
      <w:pPr>
        <w:numPr>
          <w:ilvl w:val="0"/>
          <w:numId w:val="5"/>
        </w:numPr>
        <w:spacing w:after="0"/>
        <w:jc w:val="left"/>
      </w:pPr>
      <w:r>
        <w:rPr>
          <w:rFonts w:ascii="Times New Roman" w:hAnsi="Times New Roman"/>
          <w:b w:val="false"/>
          <w:i w:val="false"/>
          <w:color w:val="000000"/>
          <w:sz w:val="22"/>
        </w:rPr>
        <w:t>**ID__PYkkHN__ID**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Competitive prototyping.</w:t>
      </w:r>
    </w:p>
    <w:p>
      <w:pPr>
        <w:numPr>
          <w:ilvl w:val="0"/>
          <w:numId w:val="5"/>
        </w:numPr>
        <w:spacing w:after="0"/>
        <w:jc w:val="left"/>
      </w:pPr>
      <w:r>
        <w:rPr>
          <w:rFonts w:ascii="Times New Roman" w:hAnsi="Times New Roman"/>
          <w:b w:val="false"/>
          <w:i w:val="false"/>
          <w:color w:val="000000"/>
          <w:sz w:val="22"/>
        </w:rPr>
        <w:t>**ID__yjPVPJ__ID**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Dual-sourcing.</w:t>
      </w:r>
    </w:p>
    <w:p>
      <w:pPr>
        <w:numPr>
          <w:ilvl w:val="0"/>
          <w:numId w:val="5"/>
        </w:numPr>
        <w:spacing w:after="0"/>
        <w:jc w:val="left"/>
      </w:pPr>
      <w:r>
        <w:rPr>
          <w:rFonts w:ascii="Times New Roman" w:hAnsi="Times New Roman"/>
          <w:b w:val="false"/>
          <w:i w:val="false"/>
          <w:color w:val="000000"/>
          <w:sz w:val="22"/>
        </w:rPr>
        <w:t>**ID__WBLUKz__ID**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Unbundling of contracts.</w:t>
      </w:r>
    </w:p>
    <w:p>
      <w:pPr>
        <w:numPr>
          <w:ilvl w:val="0"/>
          <w:numId w:val="5"/>
        </w:numPr>
        <w:spacing w:after="0"/>
        <w:jc w:val="left"/>
      </w:pPr>
      <w:r>
        <w:rPr>
          <w:rFonts w:ascii="Times New Roman" w:hAnsi="Times New Roman"/>
          <w:b w:val="false"/>
          <w:i w:val="false"/>
          <w:color w:val="000000"/>
          <w:sz w:val="22"/>
        </w:rPr>
        <w:t>**ID__NskOyX__ID**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Funding of next-generation prototype systems or subsystems.</w:t>
      </w:r>
    </w:p>
    <w:p>
      <w:pPr>
        <w:numPr>
          <w:ilvl w:val="0"/>
          <w:numId w:val="5"/>
        </w:numPr>
        <w:spacing w:after="0"/>
        <w:jc w:val="left"/>
      </w:pPr>
      <w:r>
        <w:rPr>
          <w:rFonts w:ascii="Times New Roman" w:hAnsi="Times New Roman"/>
          <w:b w:val="false"/>
          <w:i w:val="false"/>
          <w:color w:val="000000"/>
          <w:sz w:val="22"/>
        </w:rPr>
        <w:t>**ID__AFmawG__ID**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Use of modular, open architectures to enable competition for upgrades.</w:t>
      </w:r>
    </w:p>
    <w:p>
      <w:pPr>
        <w:numPr>
          <w:ilvl w:val="0"/>
          <w:numId w:val="5"/>
        </w:numPr>
        <w:spacing w:after="0"/>
        <w:jc w:val="left"/>
      </w:pPr>
      <w:r>
        <w:rPr>
          <w:rFonts w:ascii="Times New Roman" w:hAnsi="Times New Roman"/>
          <w:b w:val="false"/>
          <w:i w:val="false"/>
          <w:color w:val="000000"/>
          <w:sz w:val="22"/>
        </w:rPr>
        <w:t>**ID__hNnjow__ID**</w:t>
      </w:r>
      <w:r>
        <w:rPr>
          <w:rFonts w:ascii="Times New Roman" w:hAnsi="Times New Roman"/>
          <w:b w:val="false"/>
          <w:i w:val="false"/>
          <w:color w:val="000000"/>
          <w:sz w:val="22"/>
        </w:rPr>
        <w:t xml:space="preserve"> </w:t>
      </w:r>
      <w:r>
        <w:rPr>
          <w:rFonts w:ascii="Times New Roman" w:hAnsi="Times New Roman"/>
          <w:b w:val="false"/>
          <w:i w:val="false"/>
          <w:color w:val="000000"/>
          <w:sz w:val="22"/>
        </w:rPr>
        <w:t>(f)</w:t>
      </w:r>
      <w:r>
        <w:rPr>
          <w:rFonts w:ascii="Times New Roman" w:hAnsi="Times New Roman"/>
          <w:b w:val="false"/>
          <w:i w:val="false"/>
          <w:color w:val="000000"/>
          <w:sz w:val="22"/>
        </w:rPr>
        <w:t xml:space="preserve"> Use of build-to-print approaches to enable production through multiple sources.</w:t>
      </w:r>
    </w:p>
    <w:p>
      <w:pPr>
        <w:numPr>
          <w:ilvl w:val="0"/>
          <w:numId w:val="5"/>
        </w:numPr>
        <w:spacing w:after="0"/>
        <w:jc w:val="left"/>
      </w:pPr>
      <w:r>
        <w:rPr>
          <w:rFonts w:ascii="Times New Roman" w:hAnsi="Times New Roman"/>
          <w:b w:val="false"/>
          <w:i w:val="false"/>
          <w:color w:val="000000"/>
          <w:sz w:val="22"/>
        </w:rPr>
        <w:t>**ID__kfNqxM__ID**</w:t>
      </w:r>
      <w:r>
        <w:rPr>
          <w:rFonts w:ascii="Times New Roman" w:hAnsi="Times New Roman"/>
          <w:b w:val="false"/>
          <w:i w:val="false"/>
          <w:color w:val="000000"/>
          <w:sz w:val="22"/>
        </w:rPr>
        <w:t xml:space="preserve"> </w:t>
      </w:r>
      <w:r>
        <w:rPr>
          <w:rFonts w:ascii="Times New Roman" w:hAnsi="Times New Roman"/>
          <w:b w:val="false"/>
          <w:i w:val="false"/>
          <w:color w:val="000000"/>
          <w:sz w:val="22"/>
        </w:rPr>
        <w:t>(g)</w:t>
      </w:r>
      <w:r>
        <w:rPr>
          <w:rFonts w:ascii="Times New Roman" w:hAnsi="Times New Roman"/>
          <w:b w:val="false"/>
          <w:i w:val="false"/>
          <w:color w:val="000000"/>
          <w:sz w:val="22"/>
        </w:rPr>
        <w:t xml:space="preserve"> Acquisition of complete technical data packages.</w:t>
      </w:r>
    </w:p>
    <w:p>
      <w:pPr>
        <w:numPr>
          <w:ilvl w:val="0"/>
          <w:numId w:val="5"/>
        </w:numPr>
        <w:spacing w:after="0"/>
        <w:jc w:val="left"/>
      </w:pPr>
      <w:r>
        <w:rPr>
          <w:rFonts w:ascii="Times New Roman" w:hAnsi="Times New Roman"/>
          <w:b w:val="false"/>
          <w:i w:val="false"/>
          <w:color w:val="000000"/>
          <w:sz w:val="22"/>
        </w:rPr>
        <w:t>**ID__gyTaDt__ID**</w:t>
      </w:r>
      <w:r>
        <w:rPr>
          <w:rFonts w:ascii="Times New Roman" w:hAnsi="Times New Roman"/>
          <w:b w:val="false"/>
          <w:i w:val="false"/>
          <w:color w:val="000000"/>
          <w:sz w:val="22"/>
        </w:rPr>
        <w:t xml:space="preserve"> </w:t>
      </w:r>
      <w:r>
        <w:rPr>
          <w:rFonts w:ascii="Times New Roman" w:hAnsi="Times New Roman"/>
          <w:b w:val="false"/>
          <w:i w:val="false"/>
          <w:color w:val="000000"/>
          <w:sz w:val="22"/>
        </w:rPr>
        <w:t>(h)</w:t>
      </w:r>
      <w:r>
        <w:rPr>
          <w:rFonts w:ascii="Times New Roman" w:hAnsi="Times New Roman"/>
          <w:b w:val="false"/>
          <w:i w:val="false"/>
          <w:color w:val="000000"/>
          <w:sz w:val="22"/>
        </w:rPr>
        <w:t xml:space="preserve"> Periodic competitions for subsystem upgrades.</w:t>
      </w:r>
    </w:p>
    <w:p>
      <w:pPr>
        <w:numPr>
          <w:ilvl w:val="0"/>
          <w:numId w:val="5"/>
        </w:numPr>
        <w:spacing w:after="0"/>
        <w:jc w:val="left"/>
      </w:pPr>
      <w:r>
        <w:rPr>
          <w:rFonts w:ascii="Times New Roman" w:hAnsi="Times New Roman"/>
          <w:b w:val="false"/>
          <w:i w:val="false"/>
          <w:color w:val="000000"/>
          <w:sz w:val="22"/>
        </w:rPr>
        <w:t>**ID__DZYGJc__ID**</w:t>
      </w:r>
      <w:r>
        <w:rPr>
          <w:rFonts w:ascii="Times New Roman" w:hAnsi="Times New Roman"/>
          <w:b w:val="false"/>
          <w:i w:val="false"/>
          <w:color w:val="000000"/>
          <w:sz w:val="22"/>
        </w:rPr>
        <w:t xml:space="preserve"> </w:t>
      </w:r>
      <w:r>
        <w:rPr>
          <w:rFonts w:ascii="Times New Roman" w:hAnsi="Times New Roman"/>
          <w:b w:val="false"/>
          <w:i w:val="false"/>
          <w:color w:val="000000"/>
          <w:sz w:val="22"/>
        </w:rPr>
        <w:t>(i)</w:t>
      </w:r>
      <w:r>
        <w:rPr>
          <w:rFonts w:ascii="Times New Roman" w:hAnsi="Times New Roman"/>
          <w:b w:val="false"/>
          <w:i w:val="false"/>
          <w:color w:val="000000"/>
          <w:sz w:val="22"/>
        </w:rPr>
        <w:t xml:space="preserve"> Licensing of additional suppliers.</w:t>
      </w:r>
    </w:p>
    <w:p>
      <w:pPr>
        <w:numPr>
          <w:ilvl w:val="0"/>
          <w:numId w:val="5"/>
        </w:numPr>
        <w:spacing w:after="0"/>
        <w:jc w:val="left"/>
      </w:pPr>
      <w:r>
        <w:rPr>
          <w:rFonts w:ascii="Times New Roman" w:hAnsi="Times New Roman"/>
          <w:b w:val="false"/>
          <w:i w:val="false"/>
          <w:color w:val="000000"/>
          <w:sz w:val="22"/>
        </w:rPr>
        <w:t>**ID__nu1ymfpr__ID**</w:t>
      </w:r>
      <w:r>
        <w:rPr>
          <w:rFonts w:ascii="Times New Roman" w:hAnsi="Times New Roman"/>
          <w:b w:val="false"/>
          <w:i w:val="false"/>
          <w:color w:val="000000"/>
          <w:sz w:val="22"/>
        </w:rPr>
        <w:t xml:space="preserve"> </w:t>
      </w:r>
      <w:r>
        <w:rPr>
          <w:rFonts w:ascii="Times New Roman" w:hAnsi="Times New Roman"/>
          <w:b w:val="false"/>
          <w:i w:val="false"/>
          <w:color w:val="000000"/>
          <w:sz w:val="22"/>
        </w:rPr>
        <w:t>(j)</w:t>
      </w:r>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numPr>
          <w:ilvl w:val="0"/>
          <w:numId w:val="6"/>
        </w:numPr>
        <w:spacing w:after="0"/>
        <w:jc w:val="left"/>
      </w:pPr>
      <w:r>
        <w:rPr>
          <w:rFonts w:ascii="Times New Roman" w:hAnsi="Times New Roman"/>
          <w:b w:val="false"/>
          <w:i w:val="false"/>
          <w:color w:val="000000"/>
          <w:sz w:val="22"/>
        </w:rPr>
        <w:t>**ID__dmvRHD__ID**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Purchase request receipt.</w:t>
      </w:r>
    </w:p>
    <w:p>
      <w:pPr>
        <w:numPr>
          <w:ilvl w:val="0"/>
          <w:numId w:val="6"/>
        </w:numPr>
        <w:spacing w:after="0"/>
        <w:jc w:val="left"/>
      </w:pPr>
      <w:r>
        <w:rPr>
          <w:rFonts w:ascii="Times New Roman" w:hAnsi="Times New Roman"/>
          <w:b w:val="false"/>
          <w:i w:val="false"/>
          <w:color w:val="000000"/>
          <w:sz w:val="22"/>
        </w:rPr>
        <w:t>**ID__ysiUuE__ID**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Issuance of solicitation.</w:t>
      </w:r>
    </w:p>
    <w:p>
      <w:pPr>
        <w:numPr>
          <w:ilvl w:val="0"/>
          <w:numId w:val="6"/>
        </w:numPr>
        <w:spacing w:after="0"/>
        <w:jc w:val="left"/>
      </w:pPr>
      <w:r>
        <w:rPr>
          <w:rFonts w:ascii="Times New Roman" w:hAnsi="Times New Roman"/>
          <w:b w:val="false"/>
          <w:i w:val="false"/>
          <w:color w:val="000000"/>
          <w:sz w:val="22"/>
        </w:rPr>
        <w:t>**ID__7oottvmn__ID**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numPr>
          <w:ilvl w:val="0"/>
          <w:numId w:val="7"/>
        </w:numPr>
        <w:spacing w:after="0"/>
        <w:jc w:val="left"/>
      </w:pPr>
      <w:r>
        <w:rPr>
          <w:rFonts w:ascii="Times New Roman" w:hAnsi="Times New Roman"/>
          <w:b w:val="false"/>
          <w:i w:val="false"/>
          <w:color w:val="000000"/>
          <w:sz w:val="22"/>
        </w:rPr>
        <w:t>**ID__WgCqrH__ID**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MDA approval of the Technology Development Strategy.</w:t>
      </w:r>
    </w:p>
    <w:p>
      <w:pPr>
        <w:numPr>
          <w:ilvl w:val="0"/>
          <w:numId w:val="7"/>
        </w:numPr>
        <w:spacing w:after="0"/>
        <w:jc w:val="left"/>
      </w:pPr>
      <w:r>
        <w:rPr>
          <w:rFonts w:ascii="Times New Roman" w:hAnsi="Times New Roman"/>
          <w:b w:val="false"/>
          <w:i w:val="false"/>
          <w:color w:val="000000"/>
          <w:sz w:val="22"/>
        </w:rPr>
        <w:t>**ID__jHUSZV__ID**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Completion of the Pre-EMD Review.</w:t>
      </w:r>
    </w:p>
    <w:p>
      <w:pPr>
        <w:numPr>
          <w:ilvl w:val="0"/>
          <w:numId w:val="7"/>
        </w:numPr>
        <w:spacing w:after="0"/>
        <w:jc w:val="left"/>
      </w:pPr>
      <w:r>
        <w:rPr>
          <w:rFonts w:ascii="Times New Roman" w:hAnsi="Times New Roman"/>
          <w:b w:val="false"/>
          <w:i w:val="false"/>
          <w:color w:val="000000"/>
          <w:sz w:val="22"/>
        </w:rPr>
        <w:t>**ID__BIWDQe__ID**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Completion of all Milestone B requirements.</w:t>
      </w:r>
    </w:p>
    <w:p>
      <w:pPr>
        <w:numPr>
          <w:ilvl w:val="0"/>
          <w:numId w:val="7"/>
        </w:numPr>
        <w:spacing w:after="0"/>
        <w:jc w:val="left"/>
      </w:pPr>
      <w:r>
        <w:rPr>
          <w:rFonts w:ascii="Times New Roman" w:hAnsi="Times New Roman"/>
          <w:b w:val="false"/>
          <w:i w:val="false"/>
          <w:color w:val="000000"/>
          <w:sz w:val="22"/>
        </w:rPr>
        <w:t>**ID__dlYZDN__ID**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MDA approval of the Acquisition Strategy and RFP.</w:t>
      </w:r>
    </w:p>
    <w:p>
      <w:pPr>
        <w:numPr>
          <w:ilvl w:val="0"/>
          <w:numId w:val="7"/>
        </w:numPr>
        <w:spacing w:after="0"/>
        <w:jc w:val="left"/>
      </w:pPr>
      <w:r>
        <w:rPr>
          <w:rFonts w:ascii="Times New Roman" w:hAnsi="Times New Roman"/>
          <w:b w:val="false"/>
          <w:i w:val="false"/>
          <w:color w:val="000000"/>
          <w:sz w:val="22"/>
        </w:rPr>
        <w:t>**ID__53kdp7ij__ID**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psctool.us" Type="http://schemas.openxmlformats.org/officeDocument/2006/relationships/hyperlink" Id="rId4"/>
    <Relationship TargetMode="External" Target="http://www.contractdirectory.gov/contractdirectory/" Type="http://schemas.openxmlformats.org/officeDocument/2006/relationships/hyperlink" Id="rId5"/>
    <Relationship TargetMode="External" Target="http://www.abilityone.gov/procurement_list/index.htm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