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**ID__NMCARS_Annex-19__ID**</w:t>
      </w:r>
    </w:p>
    <w:p>
      <w:pPr>
        <w:pStyle w:val="Heading1"/>
        <w:spacing w:after="161"/>
        <w:ind w:left="120"/>
        <w:jc w:val="center"/>
      </w:pPr>
      <w:r>
        <w:rPr>
          <w:rFonts w:ascii="Times New Roman" w:hAnsi="Times New Roman"/>
          <w:color w:val="000000"/>
        </w:rPr>
        <w:t>ANNEX 19</w:t>
      </w:r>
      <w:r>
        <w:rPr>
          <w:rFonts w:ascii="Times New Roman" w:hAnsi="Times New Roman"/>
          <w:color w:val="000000"/>
        </w:rPr>
        <w:t xml:space="preserve"> – PROGRAM STREAMLINED ACQUISITION PLAN WITH SERVICES (PSTRAP–M) </w:t>
      </w:r>
      <w:r>
        <w:rPr>
          <w:rFonts w:ascii="Times New Roman" w:hAnsi="Times New Roman"/>
          <w:color w:val="000000"/>
        </w:rPr>
        <w:t>**ref__NMCARS_Annex-19__ref**</w:t>
      </w:r>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 ]</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PSTRAP-M</w:t>
      </w:r>
      <w:r>
        <w:rPr>
          <w:rFonts w:ascii="Times New Roman" w:hAnsi="Times New Roman"/>
          <w:b/>
          <w:i w:val="false"/>
          <w:color w:val="000000"/>
          <w:sz w:val="22"/>
        </w:rPr>
        <w:t>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2.1 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w:t>
      </w:r>
    </w:p>
    <w:p>
      <w:pPr>
        <w:pBdr>
          <w:top w:space="5"/>
          <w:left w:space="5"/>
          <w:bottom w:space="5"/>
          <w:right w:space="5"/>
        </w:pBdr>
        <w:spacing w:after="0"/>
        <w:ind w:left="225"/>
        <w:jc w:val="left"/>
      </w:pPr>
      <w:r>
        <w:rPr>
          <w:rFonts w:ascii="Times New Roman" w:hAnsi="Times New Roman"/>
          <w:b w:val="false"/>
          <w:i w:val="false"/>
          <w:color w:val="000000"/>
          <w:sz w:val="22"/>
        </w:rPr>
        <w:t>2.2 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numPr>
          <w:ilvl w:val="0"/>
          <w:numId w:val="1"/>
        </w:numPr>
        <w:spacing w:after="0"/>
        <w:jc w:val="left"/>
      </w:pPr>
      <w:r>
        <w:rPr>
          <w:rFonts w:ascii="Times New Roman" w:hAnsi="Times New Roman"/>
          <w:b w:val="false"/>
          <w:i w:val="false"/>
          <w:color w:val="000000"/>
          <w:sz w:val="22"/>
        </w:rPr>
        <w:t>**ID__qnEhbv__ID**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numPr>
          <w:ilvl w:val="0"/>
          <w:numId w:val="1"/>
        </w:numPr>
        <w:spacing w:after="0"/>
        <w:jc w:val="left"/>
      </w:pPr>
      <w:r>
        <w:rPr>
          <w:rFonts w:ascii="Times New Roman" w:hAnsi="Times New Roman"/>
          <w:b w:val="false"/>
          <w:i w:val="false"/>
          <w:color w:val="000000"/>
          <w:sz w:val="22"/>
        </w:rPr>
        <w:t>**ID__oYIPjx__ID**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The identification of supplies that are available only from sources outside the national technology and industrial base.</w:t>
      </w:r>
    </w:p>
    <w:p>
      <w:pPr>
        <w:numPr>
          <w:ilvl w:val="0"/>
          <w:numId w:val="1"/>
        </w:numPr>
        <w:spacing w:after="0"/>
        <w:jc w:val="left"/>
      </w:pPr>
      <w:r>
        <w:rPr>
          <w:rFonts w:ascii="Times New Roman" w:hAnsi="Times New Roman"/>
          <w:b w:val="false"/>
          <w:i w:val="false"/>
          <w:color w:val="000000"/>
          <w:sz w:val="22"/>
        </w:rPr>
        <w:t>**ID__oEncDH__ID**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numPr>
          <w:ilvl w:val="0"/>
          <w:numId w:val="1"/>
        </w:numPr>
        <w:spacing w:after="0"/>
        <w:jc w:val="left"/>
      </w:pPr>
      <w:r>
        <w:rPr>
          <w:rFonts w:ascii="Times New Roman" w:hAnsi="Times New Roman"/>
          <w:b w:val="false"/>
          <w:i w:val="false"/>
          <w:color w:val="000000"/>
          <w:sz w:val="22"/>
        </w:rPr>
        <w:t>**ID__gy07zcpg__ID**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numPr>
          <w:ilvl w:val="0"/>
          <w:numId w:val="2"/>
        </w:numPr>
        <w:spacing w:after="0"/>
        <w:jc w:val="left"/>
      </w:pPr>
      <w:r>
        <w:rPr>
          <w:rFonts w:ascii="Times New Roman" w:hAnsi="Times New Roman"/>
          <w:b w:val="false"/>
          <w:i w:val="false"/>
          <w:color w:val="000000"/>
          <w:sz w:val="22"/>
        </w:rPr>
        <w:t>**ID__ELdcbM__ID**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numPr>
          <w:ilvl w:val="0"/>
          <w:numId w:val="2"/>
        </w:numPr>
        <w:spacing w:after="0"/>
        <w:jc w:val="left"/>
      </w:pPr>
      <w:r>
        <w:rPr>
          <w:rFonts w:ascii="Times New Roman" w:hAnsi="Times New Roman"/>
          <w:b w:val="false"/>
          <w:i w:val="false"/>
          <w:color w:val="000000"/>
          <w:sz w:val="22"/>
        </w:rPr>
        <w:t>**ID__9a5kqys__ID**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numPr>
          <w:ilvl w:val="0"/>
          <w:numId w:val="3"/>
        </w:numPr>
        <w:spacing w:after="0"/>
        <w:jc w:val="left"/>
      </w:pPr>
      <w:r>
        <w:rPr>
          <w:rFonts w:ascii="Times New Roman" w:hAnsi="Times New Roman"/>
          <w:b w:val="false"/>
          <w:i w:val="false"/>
          <w:color w:val="000000"/>
          <w:sz w:val="22"/>
        </w:rPr>
        <w:t>**ID__IPsYDG__ID**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numPr>
          <w:ilvl w:val="0"/>
          <w:numId w:val="3"/>
        </w:numPr>
        <w:spacing w:after="0"/>
        <w:jc w:val="left"/>
      </w:pPr>
      <w:r>
        <w:rPr>
          <w:rFonts w:ascii="Times New Roman" w:hAnsi="Times New Roman"/>
          <w:b w:val="false"/>
          <w:i w:val="false"/>
          <w:color w:val="000000"/>
          <w:sz w:val="22"/>
        </w:rPr>
        <w:t>**ID__olbc9pu__ID**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w:pPr>
        <w:numPr>
          <w:ilvl w:val="0"/>
          <w:numId w:val="4"/>
        </w:numPr>
        <w:spacing w:after="0"/>
        <w:jc w:val="left"/>
      </w:pPr>
      <w:r>
        <w:rPr>
          <w:rFonts w:ascii="Times New Roman" w:hAnsi="Times New Roman"/>
          <w:b w:val="false"/>
          <w:i w:val="false"/>
          <w:color w:val="000000"/>
          <w:sz w:val="22"/>
        </w:rPr>
        <w:t>**ID__WtzRjY__ID**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development of maintenance capabilities within DOD; or</w:t>
      </w:r>
    </w:p>
    <w:p>
      <w:pPr>
        <w:numPr>
          <w:ilvl w:val="0"/>
          <w:numId w:val="4"/>
        </w:numPr>
        <w:spacing w:after="0"/>
        <w:jc w:val="left"/>
      </w:pPr>
      <w:r>
        <w:rPr>
          <w:rFonts w:ascii="Times New Roman" w:hAnsi="Times New Roman"/>
          <w:b w:val="false"/>
          <w:i w:val="false"/>
          <w:color w:val="000000"/>
          <w:sz w:val="22"/>
        </w:rPr>
        <w:t>**ID__askq343m__ID**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MDAPs, discuss how the following measures were considered:</w:t>
      </w:r>
    </w:p>
    <w:p>
      <w:pPr>
        <w:numPr>
          <w:ilvl w:val="0"/>
          <w:numId w:val="5"/>
        </w:numPr>
        <w:spacing w:after="0"/>
        <w:jc w:val="left"/>
      </w:pPr>
      <w:r>
        <w:rPr>
          <w:rFonts w:ascii="Times New Roman" w:hAnsi="Times New Roman"/>
          <w:b w:val="false"/>
          <w:i w:val="false"/>
          <w:color w:val="000000"/>
          <w:sz w:val="22"/>
        </w:rPr>
        <w:t>**ID__KIEqtp__ID**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Competitive prototyping.</w:t>
      </w:r>
    </w:p>
    <w:p>
      <w:pPr>
        <w:numPr>
          <w:ilvl w:val="0"/>
          <w:numId w:val="5"/>
        </w:numPr>
        <w:spacing w:after="0"/>
        <w:jc w:val="left"/>
      </w:pPr>
      <w:r>
        <w:rPr>
          <w:rFonts w:ascii="Times New Roman" w:hAnsi="Times New Roman"/>
          <w:b w:val="false"/>
          <w:i w:val="false"/>
          <w:color w:val="000000"/>
          <w:sz w:val="22"/>
        </w:rPr>
        <w:t>**ID__gbkBTp__ID**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Dual-sourcing.</w:t>
      </w:r>
    </w:p>
    <w:p>
      <w:pPr>
        <w:numPr>
          <w:ilvl w:val="0"/>
          <w:numId w:val="5"/>
        </w:numPr>
        <w:spacing w:after="0"/>
        <w:jc w:val="left"/>
      </w:pPr>
      <w:r>
        <w:rPr>
          <w:rFonts w:ascii="Times New Roman" w:hAnsi="Times New Roman"/>
          <w:b w:val="false"/>
          <w:i w:val="false"/>
          <w:color w:val="000000"/>
          <w:sz w:val="22"/>
        </w:rPr>
        <w:t>**ID__FHPQaC__ID**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Unbundling of contracts.</w:t>
      </w:r>
    </w:p>
    <w:p>
      <w:pPr>
        <w:numPr>
          <w:ilvl w:val="0"/>
          <w:numId w:val="5"/>
        </w:numPr>
        <w:spacing w:after="0"/>
        <w:jc w:val="left"/>
      </w:pPr>
      <w:r>
        <w:rPr>
          <w:rFonts w:ascii="Times New Roman" w:hAnsi="Times New Roman"/>
          <w:b w:val="false"/>
          <w:i w:val="false"/>
          <w:color w:val="000000"/>
          <w:sz w:val="22"/>
        </w:rPr>
        <w:t>**ID__xBDkIy__ID**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Funding of next-generation prototype systems or subsystems.</w:t>
      </w:r>
    </w:p>
    <w:p>
      <w:pPr>
        <w:numPr>
          <w:ilvl w:val="0"/>
          <w:numId w:val="5"/>
        </w:numPr>
        <w:spacing w:after="0"/>
        <w:jc w:val="left"/>
      </w:pPr>
      <w:r>
        <w:rPr>
          <w:rFonts w:ascii="Times New Roman" w:hAnsi="Times New Roman"/>
          <w:b w:val="false"/>
          <w:i w:val="false"/>
          <w:color w:val="000000"/>
          <w:sz w:val="22"/>
        </w:rPr>
        <w:t>**ID__FZsffe__ID**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Use of modular, open architectures to enable competition for upgrades.</w:t>
      </w:r>
    </w:p>
    <w:p>
      <w:pPr>
        <w:numPr>
          <w:ilvl w:val="0"/>
          <w:numId w:val="5"/>
        </w:numPr>
        <w:spacing w:after="0"/>
        <w:jc w:val="left"/>
      </w:pPr>
      <w:r>
        <w:rPr>
          <w:rFonts w:ascii="Times New Roman" w:hAnsi="Times New Roman"/>
          <w:b w:val="false"/>
          <w:i w:val="false"/>
          <w:color w:val="000000"/>
          <w:sz w:val="22"/>
        </w:rPr>
        <w:t>**ID__HakJvU__ID**</w:t>
      </w:r>
      <w:r>
        <w:rPr>
          <w:rFonts w:ascii="Times New Roman" w:hAnsi="Times New Roman"/>
          <w:b w:val="false"/>
          <w:i w:val="false"/>
          <w:color w:val="000000"/>
          <w:sz w:val="22"/>
        </w:rPr>
        <w:t xml:space="preserve"> </w:t>
      </w:r>
      <w:r>
        <w:rPr>
          <w:rFonts w:ascii="Times New Roman" w:hAnsi="Times New Roman"/>
          <w:b w:val="false"/>
          <w:i w:val="false"/>
          <w:color w:val="000000"/>
          <w:sz w:val="22"/>
        </w:rPr>
        <w:t>(f)</w:t>
      </w:r>
      <w:r>
        <w:rPr>
          <w:rFonts w:ascii="Times New Roman" w:hAnsi="Times New Roman"/>
          <w:b w:val="false"/>
          <w:i w:val="false"/>
          <w:color w:val="000000"/>
          <w:sz w:val="22"/>
        </w:rPr>
        <w:t xml:space="preserve"> Use of build-to-print approaches to enable production through multiple sources.</w:t>
      </w:r>
    </w:p>
    <w:p>
      <w:pPr>
        <w:numPr>
          <w:ilvl w:val="0"/>
          <w:numId w:val="5"/>
        </w:numPr>
        <w:spacing w:after="0"/>
        <w:jc w:val="left"/>
      </w:pPr>
      <w:r>
        <w:rPr>
          <w:rFonts w:ascii="Times New Roman" w:hAnsi="Times New Roman"/>
          <w:b w:val="false"/>
          <w:i w:val="false"/>
          <w:color w:val="000000"/>
          <w:sz w:val="22"/>
        </w:rPr>
        <w:t>**ID__gqCndc__ID**</w:t>
      </w:r>
      <w:r>
        <w:rPr>
          <w:rFonts w:ascii="Times New Roman" w:hAnsi="Times New Roman"/>
          <w:b w:val="false"/>
          <w:i w:val="false"/>
          <w:color w:val="000000"/>
          <w:sz w:val="22"/>
        </w:rPr>
        <w:t xml:space="preserve"> </w:t>
      </w:r>
      <w:r>
        <w:rPr>
          <w:rFonts w:ascii="Times New Roman" w:hAnsi="Times New Roman"/>
          <w:b w:val="false"/>
          <w:i w:val="false"/>
          <w:color w:val="000000"/>
          <w:sz w:val="22"/>
        </w:rPr>
        <w:t>(g)</w:t>
      </w:r>
      <w:r>
        <w:rPr>
          <w:rFonts w:ascii="Times New Roman" w:hAnsi="Times New Roman"/>
          <w:b w:val="false"/>
          <w:i w:val="false"/>
          <w:color w:val="000000"/>
          <w:sz w:val="22"/>
        </w:rPr>
        <w:t xml:space="preserve"> Acquisition of complete technical data packages.</w:t>
      </w:r>
    </w:p>
    <w:p>
      <w:pPr>
        <w:numPr>
          <w:ilvl w:val="0"/>
          <w:numId w:val="5"/>
        </w:numPr>
        <w:spacing w:after="0"/>
        <w:jc w:val="left"/>
      </w:pPr>
      <w:r>
        <w:rPr>
          <w:rFonts w:ascii="Times New Roman" w:hAnsi="Times New Roman"/>
          <w:b w:val="false"/>
          <w:i w:val="false"/>
          <w:color w:val="000000"/>
          <w:sz w:val="22"/>
        </w:rPr>
        <w:t>**ID__vwsrik__ID**</w:t>
      </w:r>
      <w:r>
        <w:rPr>
          <w:rFonts w:ascii="Times New Roman" w:hAnsi="Times New Roman"/>
          <w:b w:val="false"/>
          <w:i w:val="false"/>
          <w:color w:val="000000"/>
          <w:sz w:val="22"/>
        </w:rPr>
        <w:t xml:space="preserve"> </w:t>
      </w:r>
      <w:r>
        <w:rPr>
          <w:rFonts w:ascii="Times New Roman" w:hAnsi="Times New Roman"/>
          <w:b w:val="false"/>
          <w:i w:val="false"/>
          <w:color w:val="000000"/>
          <w:sz w:val="22"/>
        </w:rPr>
        <w:t>(h)</w:t>
      </w:r>
      <w:r>
        <w:rPr>
          <w:rFonts w:ascii="Times New Roman" w:hAnsi="Times New Roman"/>
          <w:b w:val="false"/>
          <w:i w:val="false"/>
          <w:color w:val="000000"/>
          <w:sz w:val="22"/>
        </w:rPr>
        <w:t xml:space="preserve"> Periodic competitions for subsystem upgrades.</w:t>
      </w:r>
    </w:p>
    <w:p>
      <w:pPr>
        <w:numPr>
          <w:ilvl w:val="0"/>
          <w:numId w:val="5"/>
        </w:numPr>
        <w:spacing w:after="0"/>
        <w:jc w:val="left"/>
      </w:pPr>
      <w:r>
        <w:rPr>
          <w:rFonts w:ascii="Times New Roman" w:hAnsi="Times New Roman"/>
          <w:b w:val="false"/>
          <w:i w:val="false"/>
          <w:color w:val="000000"/>
          <w:sz w:val="22"/>
        </w:rPr>
        <w:t>**ID__PesHli__ID**</w:t>
      </w:r>
      <w:r>
        <w:rPr>
          <w:rFonts w:ascii="Times New Roman" w:hAnsi="Times New Roman"/>
          <w:b w:val="false"/>
          <w:i w:val="false"/>
          <w:color w:val="000000"/>
          <w:sz w:val="22"/>
        </w:rPr>
        <w:t xml:space="preserve"> </w:t>
      </w:r>
      <w:r>
        <w:rPr>
          <w:rFonts w:ascii="Times New Roman" w:hAnsi="Times New Roman"/>
          <w:b w:val="false"/>
          <w:i w:val="false"/>
          <w:color w:val="000000"/>
          <w:sz w:val="22"/>
        </w:rPr>
        <w:t>(i)</w:t>
      </w:r>
      <w:r>
        <w:rPr>
          <w:rFonts w:ascii="Times New Roman" w:hAnsi="Times New Roman"/>
          <w:b w:val="false"/>
          <w:i w:val="false"/>
          <w:color w:val="000000"/>
          <w:sz w:val="22"/>
        </w:rPr>
        <w:t xml:space="preserve"> Licensing of additional suppliers.</w:t>
      </w:r>
    </w:p>
    <w:p>
      <w:pPr>
        <w:numPr>
          <w:ilvl w:val="0"/>
          <w:numId w:val="5"/>
        </w:numPr>
        <w:spacing w:after="0"/>
        <w:jc w:val="left"/>
      </w:pPr>
      <w:r>
        <w:rPr>
          <w:rFonts w:ascii="Times New Roman" w:hAnsi="Times New Roman"/>
          <w:b w:val="false"/>
          <w:i w:val="false"/>
          <w:color w:val="000000"/>
          <w:sz w:val="22"/>
        </w:rPr>
        <w:t>**ID__i2tyldtn__ID**</w:t>
      </w:r>
      <w:r>
        <w:rPr>
          <w:rFonts w:ascii="Times New Roman" w:hAnsi="Times New Roman"/>
          <w:b w:val="false"/>
          <w:i w:val="false"/>
          <w:color w:val="000000"/>
          <w:sz w:val="22"/>
        </w:rPr>
        <w:t xml:space="preserve"> </w:t>
      </w:r>
      <w:r>
        <w:rPr>
          <w:rFonts w:ascii="Times New Roman" w:hAnsi="Times New Roman"/>
          <w:b w:val="false"/>
          <w:i w:val="false"/>
          <w:color w:val="000000"/>
          <w:sz w:val="22"/>
        </w:rPr>
        <w:t>(j)</w:t>
      </w:r>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(Applicable to Services Contracts only).</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numPr>
          <w:ilvl w:val="0"/>
          <w:numId w:val="6"/>
        </w:numPr>
        <w:spacing w:after="0"/>
        <w:jc w:val="left"/>
      </w:pPr>
      <w:r>
        <w:rPr>
          <w:rFonts w:ascii="Times New Roman" w:hAnsi="Times New Roman"/>
          <w:b w:val="false"/>
          <w:i w:val="false"/>
          <w:color w:val="000000"/>
          <w:sz w:val="22"/>
        </w:rPr>
        <w:t>**ID__KaEQrU__ID**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Services Requirements Review Board;</w:t>
      </w:r>
    </w:p>
    <w:p>
      <w:pPr>
        <w:numPr>
          <w:ilvl w:val="0"/>
          <w:numId w:val="6"/>
        </w:numPr>
        <w:spacing w:after="0"/>
        <w:jc w:val="left"/>
      </w:pPr>
      <w:r>
        <w:rPr>
          <w:rFonts w:ascii="Times New Roman" w:hAnsi="Times New Roman"/>
          <w:b w:val="false"/>
          <w:i w:val="false"/>
          <w:color w:val="000000"/>
          <w:sz w:val="22"/>
        </w:rPr>
        <w:t>**ID__CdoWhk__ID**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For IT Services, Clinger-Cohen Act Certification;</w:t>
      </w:r>
    </w:p>
    <w:p>
      <w:pPr>
        <w:numPr>
          <w:ilvl w:val="0"/>
          <w:numId w:val="6"/>
        </w:numPr>
        <w:spacing w:after="0"/>
        <w:jc w:val="left"/>
      </w:pPr>
      <w:r>
        <w:rPr>
          <w:rFonts w:ascii="Times New Roman" w:hAnsi="Times New Roman"/>
          <w:b w:val="false"/>
          <w:i w:val="false"/>
          <w:color w:val="000000"/>
          <w:sz w:val="22"/>
        </w:rPr>
        <w:t>**ID__rzYzou__ID**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Purchase request receipt;</w:t>
      </w:r>
    </w:p>
    <w:p>
      <w:pPr>
        <w:numPr>
          <w:ilvl w:val="0"/>
          <w:numId w:val="6"/>
        </w:numPr>
        <w:spacing w:after="0"/>
        <w:jc w:val="left"/>
      </w:pPr>
      <w:r>
        <w:rPr>
          <w:rFonts w:ascii="Times New Roman" w:hAnsi="Times New Roman"/>
          <w:b w:val="false"/>
          <w:i w:val="false"/>
          <w:color w:val="000000"/>
          <w:sz w:val="22"/>
        </w:rPr>
        <w:t>**ID__Hftbbf__ID**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Issuance of solicitation; and</w:t>
      </w:r>
    </w:p>
    <w:p>
      <w:pPr>
        <w:numPr>
          <w:ilvl w:val="0"/>
          <w:numId w:val="6"/>
        </w:numPr>
        <w:spacing w:after="0"/>
        <w:jc w:val="left"/>
      </w:pPr>
      <w:r>
        <w:rPr>
          <w:rFonts w:ascii="Times New Roman" w:hAnsi="Times New Roman"/>
          <w:b w:val="false"/>
          <w:i w:val="false"/>
          <w:color w:val="000000"/>
          <w:sz w:val="22"/>
        </w:rPr>
        <w:t>**ID__s096c6ws__ID**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MDA approval of the Technology Development Strategy;</w:t>
      </w:r>
    </w:p>
    <w:p>
      <w:pPr>
        <w:numPr>
          <w:ilvl w:val="0"/>
          <w:numId w:val="7"/>
        </w:numPr>
        <w:spacing w:after="0"/>
        <w:jc w:val="left"/>
      </w:pPr>
      <w:r>
        <w:rPr>
          <w:rFonts w:ascii="Times New Roman" w:hAnsi="Times New Roman"/>
          <w:b w:val="false"/>
          <w:i w:val="false"/>
          <w:color w:val="000000"/>
          <w:sz w:val="22"/>
        </w:rPr>
        <w:t>**ID__UPXbWA__ID**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MDA approval of the Technology Development Strategy;</w:t>
      </w:r>
    </w:p>
    <w:p>
      <w:pPr>
        <w:numPr>
          <w:ilvl w:val="0"/>
          <w:numId w:val="7"/>
        </w:numPr>
        <w:spacing w:after="0"/>
        <w:jc w:val="left"/>
      </w:pPr>
      <w:r>
        <w:rPr>
          <w:rFonts w:ascii="Times New Roman" w:hAnsi="Times New Roman"/>
          <w:b w:val="false"/>
          <w:i w:val="false"/>
          <w:color w:val="000000"/>
          <w:sz w:val="22"/>
        </w:rPr>
        <w:t>**ID__TNTMsa__ID**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Completion of the Pre-EMD Review;</w:t>
      </w:r>
    </w:p>
    <w:p>
      <w:pPr>
        <w:numPr>
          <w:ilvl w:val="0"/>
          <w:numId w:val="7"/>
        </w:numPr>
        <w:spacing w:after="0"/>
        <w:jc w:val="left"/>
      </w:pPr>
      <w:r>
        <w:rPr>
          <w:rFonts w:ascii="Times New Roman" w:hAnsi="Times New Roman"/>
          <w:b w:val="false"/>
          <w:i w:val="false"/>
          <w:color w:val="000000"/>
          <w:sz w:val="22"/>
        </w:rPr>
        <w:t>**ID__ciDivf__ID**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Completion of all Milestone B requirements;</w:t>
      </w:r>
    </w:p>
    <w:p>
      <w:pPr>
        <w:numPr>
          <w:ilvl w:val="0"/>
          <w:numId w:val="7"/>
        </w:numPr>
        <w:spacing w:after="0"/>
        <w:jc w:val="left"/>
      </w:pPr>
      <w:r>
        <w:rPr>
          <w:rFonts w:ascii="Times New Roman" w:hAnsi="Times New Roman"/>
          <w:b w:val="false"/>
          <w:i w:val="false"/>
          <w:color w:val="000000"/>
          <w:sz w:val="22"/>
        </w:rPr>
        <w:t>**ID__klPMzR__ID**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MDA approval of the Acquisition Strategy and RFP;</w:t>
      </w:r>
    </w:p>
    <w:p>
      <w:pPr>
        <w:numPr>
          <w:ilvl w:val="0"/>
          <w:numId w:val="7"/>
        </w:numPr>
        <w:spacing w:after="0"/>
        <w:jc w:val="left"/>
      </w:pPr>
      <w:r>
        <w:rPr>
          <w:rFonts w:ascii="Times New Roman" w:hAnsi="Times New Roman"/>
          <w:b w:val="false"/>
          <w:i w:val="false"/>
          <w:color w:val="000000"/>
          <w:sz w:val="22"/>
        </w:rPr>
        <w:t>**ID__hug2gnxa__ID**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numPr>
          <w:ilvl w:val="0"/>
          <w:numId w:val="8"/>
        </w:numPr>
        <w:spacing w:after="0"/>
        <w:jc w:val="left"/>
      </w:pPr>
      <w:r>
        <w:rPr>
          <w:rFonts w:ascii="Times New Roman" w:hAnsi="Times New Roman"/>
          <w:b w:val="false"/>
          <w:i w:val="false"/>
          <w:color w:val="000000"/>
          <w:sz w:val="22"/>
        </w:rPr>
        <w:t>**ID__fVItsp__ID**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Discuss the COR qualifications to support effective contract management and oversight.</w:t>
      </w:r>
    </w:p>
    <w:p>
      <w:pPr>
        <w:numPr>
          <w:ilvl w:val="0"/>
          <w:numId w:val="8"/>
        </w:numPr>
        <w:spacing w:after="0"/>
        <w:jc w:val="left"/>
      </w:pPr>
      <w:r>
        <w:rPr>
          <w:rFonts w:ascii="Times New Roman" w:hAnsi="Times New Roman"/>
          <w:b w:val="false"/>
          <w:i w:val="false"/>
          <w:color w:val="000000"/>
          <w:sz w:val="22"/>
        </w:rPr>
        <w:t>**ID__aki1cg7f__ID**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psctool.us" Type="http://schemas.openxmlformats.org/officeDocument/2006/relationships/hyperlink" Id="rId4"/>
    <Relationship TargetMode="External" Target="http://www.contractdirectory.gov/contractdirectory/" Type="http://schemas.openxmlformats.org/officeDocument/2006/relationships/hyperlink" Id="rId5"/>
    <Relationship TargetMode="External" Target="http://www.abilityone.gov/procurement_list/index.htm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