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**ID__NMCARS_5203.203__ID**</w:t>
      </w:r>
    </w:p>
    <w:p>
      <w:pPr>
        <w:pStyle w:val="Heading3"/>
        <w:spacing w:after="199"/>
        <w:ind w:left="120"/>
        <w:jc w:val="left"/>
      </w:pPr>
      <w:r>
        <w:rPr>
          <w:rFonts w:ascii="Times New Roman" w:hAnsi="Times New Roman"/>
          <w:color w:val="000000"/>
          <w:sz w:val="31"/>
        </w:rPr>
        <w:t>5203.203</w:t>
      </w:r>
      <w:r>
        <w:rPr>
          <w:rFonts w:ascii="Times New Roman" w:hAnsi="Times New Roman"/>
          <w:color w:val="000000"/>
          <w:sz w:val="31"/>
        </w:rPr>
        <w:t xml:space="preserve"> Reporting suspected violations of the Gratuities clause.</w:t>
      </w:r>
    </w:p>
    <w:p>
      <w:pPr>
        <w:pBdr>
          <w:top w:space="5"/>
          <w:left w:space="5"/>
          <w:bottom w:space="5"/>
          <w:right w:space="5"/>
        </w:pBdr>
        <w:spacing w:after="0"/>
        <w:ind w:left="225"/>
        <w:jc w:val="left"/>
      </w:pPr>
      <w:r>
        <w:rPr>
          <w:rFonts w:ascii="Times New Roman" w:hAnsi="Times New Roman"/>
          <w:b w:val="false"/>
          <w:i w:val="false"/>
          <w:color w:val="000000"/>
          <w:sz w:val="22"/>
        </w:rPr>
        <w:t>(a) Within two working days after receiving information indicating that a gratuity (including, but not limited to, entertainment or a gift) may have been offered or given by a contractor or a contractor’s agent or representative to any officer, official, or employee of the Government to obtain a DON contract or favorable treatment in the awarding, amending, or making of determinations concerning the performance of a DON contract, a DON officer, official, or employee must inform the Assistant General Counsel (Acquisition Integrity) (AGC (AI)) and the contracting officer having cognizance over the contract of the potential infraction, unless the contracting officer is suspected to be a party to the gifted or offered gratuity. In that case, the HCA should be informed instead of the contracting officer. Information provided to the AGC (AI) and the cognizant contracting officer or HCA is exempt from Management Information Collection (MIC) reporting requirements as per SECNAV M-5214.1 (Dec. 2005), Part IV, § 7.n. &amp; Part V, § 5.p. Submit the information in the format prescribed at Annex 10.</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having cognizance over the contract implicated in the alleged Gratuities clause violation (or the HCA, if the contracting officer is alleged to be a party to the gifted or offered gratuity) shall:</w:t>
      </w:r>
    </w:p>
    <w:p>
      <w:pPr>
        <w:pBdr>
          <w:top w:space="5"/>
          <w:left w:space="5"/>
          <w:bottom w:space="5"/>
          <w:right w:space="5"/>
        </w:pBdr>
        <w:spacing w:after="0"/>
        <w:ind w:left="585"/>
        <w:jc w:val="left"/>
      </w:pPr>
      <w:r>
        <w:rPr>
          <w:rFonts w:ascii="Times New Roman" w:hAnsi="Times New Roman"/>
          <w:b w:val="false"/>
          <w:i w:val="false"/>
          <w:color w:val="000000"/>
          <w:sz w:val="22"/>
        </w:rPr>
        <w:t>(i) Within five working days after receiving information regarding an alleged violation of the Gratuities clause, provide a written report to the AGC (AI) (exempt from (MIC) reporting requirements as per SECNAV M-5214.1 (Dec. 2005), Part IV, § 7.n. &amp; Part V, § 5.p), including:</w:t>
      </w:r>
    </w:p>
    <w:p>
      <w:pPr>
        <w:pBdr>
          <w:top w:space="5"/>
          <w:left w:space="5"/>
          <w:bottom w:space="5"/>
          <w:right w:space="5"/>
        </w:pBdr>
        <w:spacing w:after="0"/>
        <w:ind w:left="945"/>
        <w:jc w:val="left"/>
      </w:pPr>
      <w:r>
        <w:rPr>
          <w:rFonts w:ascii="Times New Roman" w:hAnsi="Times New Roman"/>
          <w:b w:val="false"/>
          <w:i w:val="false"/>
          <w:color w:val="000000"/>
          <w:sz w:val="22"/>
        </w:rPr>
        <w:t>(A) The name and address of the contractor;</w:t>
      </w:r>
    </w:p>
    <w:p>
      <w:pPr>
        <w:pBdr>
          <w:top w:space="5"/>
          <w:left w:space="5"/>
          <w:bottom w:space="5"/>
          <w:right w:space="5"/>
        </w:pBdr>
        <w:spacing w:after="0"/>
        <w:ind w:left="945"/>
        <w:jc w:val="left"/>
      </w:pPr>
      <w:r>
        <w:rPr>
          <w:rFonts w:ascii="Times New Roman" w:hAnsi="Times New Roman"/>
          <w:b w:val="false"/>
          <w:i w:val="false"/>
          <w:color w:val="000000"/>
          <w:sz w:val="22"/>
        </w:rPr>
        <w:t>(B) A summary of any information concerning the suspected violation known to the person making the report, such as the nature and amount of the alleged gratuity and the person to whom it was allegedly offered or given;</w:t>
      </w:r>
    </w:p>
    <w:p>
      <w:pPr>
        <w:pBdr>
          <w:top w:space="5"/>
          <w:left w:space="5"/>
          <w:bottom w:space="5"/>
          <w:right w:space="5"/>
        </w:pBdr>
        <w:spacing w:after="0"/>
        <w:ind w:left="945"/>
        <w:jc w:val="left"/>
      </w:pPr>
      <w:r>
        <w:rPr>
          <w:rFonts w:ascii="Times New Roman" w:hAnsi="Times New Roman"/>
          <w:b w:val="false"/>
          <w:i w:val="false"/>
          <w:color w:val="000000"/>
          <w:sz w:val="22"/>
        </w:rPr>
        <w:t>(C) The contract number, date, estimated day of completion of performance, a general description of supplies or services procured, dollar amount, status of performance and payment, urgency of requirements, availability of the supplies or services from other sources, and the name of the contracting officer; and,</w:t>
      </w:r>
    </w:p>
    <w:p>
      <w:pPr>
        <w:pBdr>
          <w:top w:space="5"/>
          <w:left w:space="5"/>
          <w:bottom w:space="5"/>
          <w:right w:space="5"/>
        </w:pBdr>
        <w:spacing w:after="0"/>
        <w:ind w:left="945"/>
        <w:jc w:val="left"/>
      </w:pPr>
      <w:r>
        <w:rPr>
          <w:rFonts w:ascii="Times New Roman" w:hAnsi="Times New Roman"/>
          <w:b w:val="false"/>
          <w:i w:val="false"/>
          <w:color w:val="000000"/>
          <w:sz w:val="22"/>
        </w:rPr>
        <w:t>(D) Copies of any documents available concerning the suspected violation.</w:t>
      </w:r>
    </w:p>
    <w:p>
      <w:pPr>
        <w:pBdr>
          <w:top w:space="5"/>
          <w:left w:space="5"/>
          <w:bottom w:space="5"/>
          <w:right w:space="5"/>
        </w:pBdr>
        <w:spacing w:after="0"/>
        <w:ind w:left="585"/>
        <w:jc w:val="left"/>
      </w:pPr>
      <w:r>
        <w:rPr>
          <w:rFonts w:ascii="Times New Roman" w:hAnsi="Times New Roman"/>
          <w:b w:val="false"/>
          <w:i w:val="false"/>
          <w:color w:val="000000"/>
          <w:sz w:val="22"/>
        </w:rPr>
        <w:t>(ii) Cooperate and coordinate with the AGC (AI) and the DON’s Acquisition Integrity Office (AIO) in the investigation and treatment of an alleged violation, including, but not limited to, responding promptly to requests for information.</w:t>
      </w:r>
    </w:p>
    <w:p>
      <w:pPr>
        <w:pBdr>
          <w:top w:space="5"/>
          <w:left w:space="5"/>
          <w:bottom w:space="5"/>
          <w:right w:space="5"/>
        </w:pBdr>
        <w:spacing w:after="0"/>
        <w:ind w:left="585"/>
        <w:jc w:val="left"/>
      </w:pPr>
      <w:r>
        <w:rPr>
          <w:rFonts w:ascii="Times New Roman" w:hAnsi="Times New Roman"/>
          <w:b w:val="false"/>
          <w:i w:val="false"/>
          <w:color w:val="000000"/>
          <w:sz w:val="22"/>
        </w:rPr>
        <w:t>(iii) Advise AIO of the existence and status of any administrative investigation concerning the alleged violation of which the contracting officer is aware, with an estimated date upon which the report of investigation will be completed, if known. If requested, a copy of the Report of Investigation must be provided to AIO as soon as practicable.</w:t>
      </w:r>
    </w:p>
    <w:p>
      <w:pPr>
        <w:pBdr>
          <w:top w:space="5"/>
          <w:left w:space="5"/>
          <w:bottom w:space="5"/>
          <w:right w:space="5"/>
        </w:pBdr>
        <w:spacing w:after="0"/>
        <w:ind w:left="585"/>
        <w:jc w:val="left"/>
      </w:pPr>
      <w:r>
        <w:rPr>
          <w:rFonts w:ascii="Times New Roman" w:hAnsi="Times New Roman"/>
          <w:b w:val="false"/>
          <w:i w:val="false"/>
          <w:color w:val="000000"/>
          <w:sz w:val="22"/>
        </w:rPr>
        <w:t>(iv) Comply fully with DFARS Subpart 203.070 “Reporting of violations and suspected violations.”</w:t>
      </w:r>
    </w:p>
    <w:p>
      <w:pPr>
        <w:pBdr>
          <w:top w:space="5"/>
          <w:left w:space="5"/>
          <w:bottom w:space="5"/>
          <w:right w:space="5"/>
        </w:pBdr>
        <w:spacing w:after="0"/>
        <w:ind w:left="225"/>
        <w:jc w:val="left"/>
      </w:pPr>
      <w:r>
        <w:rPr>
          <w:rFonts w:ascii="Times New Roman" w:hAnsi="Times New Roman"/>
          <w:b w:val="false"/>
          <w:i w:val="false"/>
          <w:color w:val="000000"/>
          <w:sz w:val="22"/>
        </w:rPr>
        <w:t>(c) AIO shall refer the alleged violation to the Naval Criminal Investigative Service for investigation and other appropriate action pursuant to SECNAVINST 5430.107, dated 28 Dec 2005, and 5430.92B, dated 30 Dec 2005, or successor instructions or regulations. AIO may also refer the alleged violation to the Naval Audit Service pursuant to SECNAVINST 5430.92B, dated 30 Dec 2005, or successor instruction or regulation.</w:t>
      </w:r>
    </w:p>
    <w:p>
      <w:pPr>
        <w:pBdr>
          <w:top w:space="5"/>
          <w:left w:space="5"/>
          <w:bottom w:space="5"/>
          <w:right w:space="5"/>
        </w:pBdr>
        <w:spacing w:after="0"/>
        <w:ind w:left="225"/>
        <w:jc w:val="left"/>
      </w:pPr>
      <w:r>
        <w:rPr>
          <w:rFonts w:ascii="Times New Roman" w:hAnsi="Times New Roman"/>
          <w:b w:val="false"/>
          <w:i w:val="false"/>
          <w:color w:val="000000"/>
          <w:sz w:val="22"/>
        </w:rPr>
        <w:t>(d) The reporting procedure set forth in this Subpart 5203.203 is not exclusive. The AGC (AI) may commence a proceeding pursuant to Subpart 5203.204 concerning a suspected violation of the Gratuities clause involving any DON contract regardless of the source of the information.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