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**ID__NMCARS_5203.204__ID**</w:t>
      </w:r>
    </w:p>
    <w:p>
      <w:pPr>
        <w:pStyle w:val="Heading3"/>
        <w:spacing w:after="199"/>
        <w:ind w:left="120"/>
        <w:jc w:val="left"/>
      </w:pPr>
      <w:r>
        <w:rPr>
          <w:rFonts w:ascii="Times New Roman" w:hAnsi="Times New Roman"/>
          <w:color w:val="000000"/>
          <w:sz w:val="31"/>
        </w:rPr>
        <w:t>5203.204</w:t>
      </w:r>
      <w:r>
        <w:rPr>
          <w:rFonts w:ascii="Times New Roman" w:hAnsi="Times New Roman"/>
          <w:color w:val="000000"/>
          <w:sz w:val="31"/>
        </w:rPr>
        <w:t xml:space="preserve"> Treatment of violations.</w:t>
      </w:r>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