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**ID__NMCARS_5201.101__ID**</w:t>
      </w:r>
    </w:p>
    <w:p>
      <w:pPr>
        <w:pStyle w:val="Heading3"/>
        <w:spacing w:after="199"/>
        <w:ind w:left="120"/>
        <w:jc w:val="left"/>
      </w:pPr>
      <w:r>
        <w:rPr>
          <w:rFonts w:ascii="Times New Roman" w:hAnsi="Times New Roman"/>
          <w:color w:val="000000"/>
          <w:sz w:val="31"/>
        </w:rPr>
        <w:t>5201.101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