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**ID__NMCARS_5204.604__ID**</w:t>
      </w:r>
    </w:p>
    <w:p>
      <w:pPr>
        <w:pStyle w:val="Heading3"/>
        <w:spacing w:after="199"/>
        <w:ind w:left="120"/>
        <w:jc w:val="left"/>
      </w:pPr>
      <w:r>
        <w:rPr>
          <w:rFonts w:ascii="Times New Roman" w:hAnsi="Times New Roman"/>
          <w:color w:val="000000"/>
          <w:sz w:val="31"/>
        </w:rPr>
        <w:t>5204.604</w:t>
      </w:r>
      <w:r>
        <w:rPr>
          <w:rFonts w:ascii="Times New Roman" w:hAnsi="Times New Roman"/>
          <w:color w:val="000000"/>
          <w:sz w:val="31"/>
        </w:rPr>
        <w:t xml:space="preserve">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(3)(i) No later than 30 days from the end of the quarter, HCAs shall complete quarterly data verification and validation (V&amp;V) in accordance with the data V&amp;V process described in section 4.0 available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http://www.acq.osd.mil/dpap/pdi/eb/dataimp.html#</w:t>
        </w:r>
      </w:hyperlink>
      <w:r>
        <w:rPr>
          <w:rFonts w:ascii="Times New Roman" w:hAnsi="Times New Roman"/>
          <w:b w:val="false"/>
          <w:i w:val="false"/>
          <w:color w:val="000000"/>
          <w:sz w:val="22"/>
        </w:rPr>
        <w:t xml:space="preserve"> and submit quarterly results and certifications to DASN(P) eBusiness Policy and Oversight Division by email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204.604 – Quarterly Data Verification and Validation.”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 By December 1st of each year, HCAs shall submit the required annual certification and data validation results for the preceding fiscal year reported data on contract actions following the instructions and format at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http://www.acq.osd.mil/dpap/pdi/eb/dataimp.html#</w:t>
        </w:r>
      </w:hyperlink>
      <w:r>
        <w:rPr>
          <w:rFonts w:ascii="Times New Roman" w:hAnsi="Times New Roman"/>
          <w:b w:val="false"/>
          <w:i w:val="false"/>
          <w:color w:val="000000"/>
          <w:sz w:val="22"/>
        </w:rPr>
        <w:t xml:space="preserve"> to DASN(P) e-Business Policy and Oversight Division by email at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204.604 – Annual Data Verification and Validation.”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acq.osd.mil/dpap/pdi/eb/dataimp.html" Type="http://schemas.openxmlformats.org/officeDocument/2006/relationships/hyperlink" Id="rId4"/>
    <Relationship TargetMode="External" Target="mailto:Policy@navy.mil" Type="http://schemas.openxmlformats.org/officeDocument/2006/relationships/hyperlink" Id="rId5"/>
    <Relationship TargetMode="External" Target="http://www.acq.osd.mil/dpap/pdi/eb/dataimp.html" Type="http://schemas.openxmlformats.org/officeDocument/2006/relationships/hyperlink" Id="rId6"/>
    <Relationship TargetMode="External" Target="mailto:Policy@navy.mil"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