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**ID__NMCARS_5204.8041__ID**</w:t>
      </w:r>
    </w:p>
    <w:p>
      <w:pPr>
        <w:pStyle w:val="Heading4"/>
        <w:spacing w:after="269"/>
        <w:ind w:left="120"/>
        <w:jc w:val="left"/>
      </w:pPr>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