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**ID__NMCARS_5204.73031__ID**</w:t>
      </w:r>
    </w:p>
    <w:p>
      <w:pPr>
        <w:pStyle w:val="Heading4"/>
        <w:spacing w:after="269"/>
        <w:ind w:left="120"/>
        <w:jc w:val="left"/>
      </w:pPr>
      <w:r>
        <w:rPr>
          <w:rFonts w:ascii="Times New Roman" w:hAnsi="Times New Roman"/>
          <w:i w:val="false"/>
          <w:color w:val="000000"/>
          <w:sz w:val="24"/>
        </w:rPr>
        <w:t>5204.7303-1</w:t>
      </w:r>
      <w:r>
        <w:rPr>
          <w:rFonts w:ascii="Times New Roman" w:hAnsi="Times New Roman"/>
          <w:i w:val="false"/>
          <w:color w:val="000000"/>
          <w:sz w:val="24"/>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(b)(S-90) As provided in the memorandum titled, “Updated Implementation of the DIB Memo” dated 06 September 2019, the DON recognizes the ongoing efforts within the DOD to protect controlled unclassified information and unclassified networks. In the interim, the contracting officer shall -</w:t>
      </w:r>
    </w:p>
    <w:p>
      <w:pPr>
        <w:pBdr>
          <w:top w:space="5"/>
          <w:left w:space="5"/>
          <w:bottom w:space="5"/>
          <w:right w:space="5"/>
        </w:pBdr>
        <w:spacing w:after="0"/>
        <w:ind w:left="585"/>
        <w:jc w:val="left"/>
      </w:pPr>
      <w:r>
        <w:rPr>
          <w:rFonts w:ascii="Times New Roman" w:hAnsi="Times New Roman"/>
          <w:b w:val="false"/>
          <w:i w:val="false"/>
          <w:color w:val="000000"/>
          <w:sz w:val="22"/>
        </w:rPr>
        <w:t>(a) Include the contents of Annex 16 in the statements of work of solicitations, contracts and task or delivery orders when notified by the DON Program Manager, Program Executive Officer, or Chief of Naval Research, in coordination with the Resource Sponsor, that the risk to a critical program and/or technology warrants its inclusion.</w:t>
      </w:r>
    </w:p>
    <w:p>
      <w:pPr>
        <w:pBdr>
          <w:top w:space="5"/>
          <w:left w:space="5"/>
          <w:bottom w:space="5"/>
          <w:right w:space="5"/>
        </w:pBdr>
        <w:spacing w:after="0"/>
        <w:ind w:left="585"/>
        <w:jc w:val="left"/>
      </w:pPr>
      <w:r>
        <w:rPr>
          <w:rFonts w:ascii="Times New Roman" w:hAnsi="Times New Roman"/>
          <w:b w:val="false"/>
          <w:i w:val="false"/>
          <w:color w:val="000000"/>
          <w:sz w:val="22"/>
        </w:rPr>
        <w:t>(b) Consider the DFARS Clause at 252.204-7012, and to the extent its contents are included in statements of work of solicitations, contracts and task or delivery orders, the DIB memo, and Annex 16, to be material requirements.</w:t>
      </w:r>
    </w:p>
    <w:p>
      <w:pPr>
        <w:pBdr>
          <w:top w:space="5"/>
          <w:left w:space="5"/>
          <w:bottom w:space="5"/>
          <w:right w:space="5"/>
        </w:pBdr>
        <w:spacing w:after="0"/>
        <w:ind w:left="585"/>
        <w:jc w:val="left"/>
      </w:pPr>
      <w:r>
        <w:rPr>
          <w:rFonts w:ascii="Times New Roman" w:hAnsi="Times New Roman"/>
          <w:b w:val="false"/>
          <w:i w:val="false"/>
          <w:color w:val="000000"/>
          <w:sz w:val="22"/>
        </w:rPr>
        <w:t>(c) Consider the right to reduce or suspend progress payments for contractor noncompliance (see Federal Acquisition Regulation (FAR) 32.503-6) or for nonconforming supplies or services (see FAR 46.407).</w:t>
      </w:r>
    </w:p>
    <w:p>
      <w:pPr>
        <w:pBdr>
          <w:top w:space="5"/>
          <w:left w:space="5"/>
          <w:bottom w:space="5"/>
          <w:right w:space="5"/>
        </w:pBdr>
        <w:spacing w:after="0"/>
        <w:ind w:left="945"/>
        <w:jc w:val="left"/>
      </w:pPr>
      <w:r>
        <w:rPr>
          <w:rFonts w:ascii="Times New Roman" w:hAnsi="Times New Roman"/>
          <w:b w:val="false"/>
          <w:i w:val="false"/>
          <w:color w:val="000000"/>
          <w:sz w:val="22"/>
        </w:rPr>
        <w:t>i. When the contracting officer decides to accept supplies or services with critical or major non-conformances (e.g., failure to comply with a material requirement), the contracting officer shall modify the contract to provide for an equitable price reduction or other consideration.</w:t>
      </w:r>
    </w:p>
    <w:p>
      <w:pPr>
        <w:pBdr>
          <w:top w:space="5"/>
          <w:left w:space="5"/>
          <w:bottom w:space="5"/>
          <w:right w:space="5"/>
        </w:pBdr>
        <w:spacing w:after="0"/>
        <w:ind w:left="1305"/>
        <w:jc w:val="left"/>
      </w:pPr>
      <w:r>
        <w:rPr>
          <w:rFonts w:ascii="Times New Roman" w:hAnsi="Times New Roman"/>
          <w:b w:val="false"/>
          <w:i w:val="false"/>
          <w:color w:val="000000"/>
          <w:sz w:val="22"/>
        </w:rPr>
        <w:t>1. An amount approximating 5% of the contract’s value could be considered reasonable based on the risk to the Government for this noncompliance.</w:t>
      </w:r>
    </w:p>
    <w:p>
      <w:pPr>
        <w:pBdr>
          <w:top w:space="5"/>
          <w:left w:space="5"/>
          <w:bottom w:space="5"/>
          <w:right w:space="5"/>
        </w:pBdr>
        <w:spacing w:after="0"/>
        <w:ind w:left="1305"/>
        <w:jc w:val="left"/>
      </w:pPr>
      <w:r>
        <w:rPr>
          <w:rFonts w:ascii="Times New Roman" w:hAnsi="Times New Roman"/>
          <w:b w:val="false"/>
          <w:i w:val="false"/>
          <w:color w:val="000000"/>
          <w:sz w:val="22"/>
        </w:rPr>
        <w:t>2. In situations where an increased risk is identified by the requirements office, the contracting officer should consider an amount equal to this increased risk.</w:t>
      </w:r>
    </w:p>
    <w:p>
      <w:pPr>
        <w:pBdr>
          <w:top w:space="5"/>
          <w:left w:space="5"/>
          <w:bottom w:space="5"/>
          <w:right w:space="5"/>
        </w:pBdr>
        <w:spacing w:after="0"/>
        <w:ind w:left="945"/>
        <w:jc w:val="left"/>
      </w:pPr>
      <w:r>
        <w:rPr>
          <w:rFonts w:ascii="Times New Roman" w:hAnsi="Times New Roman"/>
          <w:b w:val="false"/>
          <w:i w:val="false"/>
          <w:color w:val="000000"/>
          <w:sz w:val="22"/>
        </w:rPr>
        <w:t>ii. When the contracting officer decides to require correction of nonconformance rather than acceptance, withholding/reduction or suspension of progress payments should be considered if correction is not effected in a timely manner.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