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**ID__NMCARS_5205.4041__ID**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5205.404-1</w:t>
      </w:r>
      <w:r>
        <w:rPr>
          <w:rFonts w:ascii="Times New Roman" w:hAnsi="Times New Roman"/>
          <w:i w:val="false"/>
          <w:color w:val="000000"/>
          <w:sz w:val="24"/>
        </w:rPr>
        <w:t xml:space="preserve"> Release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r>
        <w:rPr>
          <w:rFonts w:ascii="Times New Roman" w:hAnsi="Times New Roman"/>
          <w:b w:val="false"/>
          <w:i/>
          <w:color w:val="000000"/>
          <w:sz w:val="22"/>
        </w:rPr>
        <w:t>Application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The agency head designates the HCA as the official who may, in addition to the agency head, release long-range acquisition estimates.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