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**ID__NMCARS_5206.3032__ID**</w:t>
      </w:r>
    </w:p>
    <w:p>
      <w:pPr>
        <w:pStyle w:val="Heading4"/>
        <w:spacing w:after="269"/>
        <w:ind w:left="120"/>
        <w:jc w:val="left"/>
      </w:pPr>
      <w:r>
        <w:rPr>
          <w:rFonts w:ascii="Times New Roman" w:hAnsi="Times New Roman"/>
          <w:i w:val="false"/>
          <w:color w:val="000000"/>
          <w:sz w:val="24"/>
        </w:rPr>
        <w:t>5206.303-2</w:t>
      </w:r>
      <w:r>
        <w:rPr>
          <w:rFonts w:ascii="Times New Roman" w:hAnsi="Times New Roman"/>
          <w:i w:val="false"/>
          <w:color w:val="000000"/>
          <w:sz w:val="24"/>
        </w:rPr>
        <w:t xml:space="preserve"> Content.</w:t>
      </w:r>
    </w:p>
    <w:p>
      <w:pPr>
        <w:pBdr>
          <w:top w:space="5"/>
          <w:left w:space="5"/>
          <w:bottom w:space="5"/>
          <w:right w:space="5"/>
        </w:pBdr>
        <w:spacing w:after="0"/>
        <w:ind w:left="225"/>
        <w:jc w:val="left"/>
      </w:pPr>
      <w:r>
        <w:rPr>
          <w:rFonts w:ascii="Times New Roman" w:hAnsi="Times New Roman"/>
          <w:b w:val="false"/>
          <w:i w:val="false"/>
          <w:color w:val="000000"/>
          <w:sz w:val="22"/>
        </w:rPr>
        <w:t>(b)(3) The total estimated dollar value for each acquisition covered by the justification, identified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(S-90) Format.</w:t>
      </w:r>
    </w:p>
    <w:p>
      <w:pPr>
        <w:pBdr>
          <w:top w:space="5"/>
          <w:left w:space="5"/>
          <w:bottom w:space="5"/>
          <w:right w:space="5"/>
        </w:pBdr>
        <w:spacing w:after="0"/>
        <w:ind w:left="585"/>
        <w:jc w:val="left"/>
      </w:pPr>
      <w:r>
        <w:rPr>
          <w:rFonts w:ascii="Times New Roman" w:hAnsi="Times New Roman"/>
          <w:b w:val="false"/>
          <w:i w:val="false"/>
          <w:color w:val="000000"/>
          <w:sz w:val="22"/>
        </w:rPr>
        <w:t>(a) The required format for a justification is at Annex 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