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**ID__NMCARS_5206.30390__ID**</w:t>
      </w:r>
    </w:p>
    <w:p>
      <w:pPr>
        <w:pStyle w:val="Heading4"/>
        <w:spacing w:after="269"/>
        <w:ind w:left="120"/>
        <w:jc w:val="left"/>
      </w:pPr>
      <w:r>
        <w:rPr>
          <w:rFonts w:ascii="Times New Roman" w:hAnsi="Times New Roman"/>
          <w:i w:val="false"/>
          <w:color w:val="000000"/>
          <w:sz w:val="24"/>
        </w:rPr>
        <w:t>5206.303-90</w:t>
      </w:r>
      <w:r>
        <w:rPr>
          <w:rFonts w:ascii="Times New Roman" w:hAnsi="Times New Roman"/>
          <w:i w:val="false"/>
          <w:color w:val="000000"/>
          <w:sz w:val="24"/>
        </w:rPr>
        <w:t xml:space="preserve"> Legal reviews.</w:t>
      </w:r>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