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**ID__NMCARS_5206.30392__ID**</w:t>
      </w:r>
    </w:p>
    <w:p>
      <w:pPr>
        <w:pStyle w:val="Heading4"/>
        <w:spacing w:after="269"/>
        <w:ind w:left="120"/>
        <w:jc w:val="left"/>
      </w:pPr>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30 days after the end of each quarter, in the format prescribed by Annex 5. The required Excel file for reporting can be found on the ASN(RDA) website. Negative reports are required. Reports shall be submitted via email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eniorservicesmanage.fct@navy.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