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19" w:id="0"/>
      <w:r>
        <w:rPr>
          <w:rFonts w:ascii="Times New Roman" w:hAnsi="Times New Roman"/>
          <w:color w:val="000000"/>
        </w:rPr>
        <w:t>ANNEX 19</w:t>
      </w:r>
      <w:r>
        <w:rPr>
          <w:rFonts w:ascii="Times New Roman" w:hAnsi="Times New Roman"/>
          <w:color w:val="000000"/>
        </w:rPr>
        <w:t xml:space="preserve"> - PROGRAM STREAMLINED ACQUISITION PLAN WITH SERVICES (PSTRAP-M)</w:t>
      </w:r>
      <w:bookmarkEnd w:id="0"/>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 ]</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 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PSTRAP-M</w:t>
      </w:r>
      <w:r>
        <w:rPr>
          <w:rFonts w:ascii="Times New Roman" w:hAnsi="Times New Roman"/>
          <w:b/>
          <w:i w:val="false"/>
          <w:color w:val="000000"/>
          <w:sz w:val="22"/>
        </w:rPr>
        <w:t>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Service Requirements Review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program.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Budget.</w:t>
      </w:r>
      <w:r>
        <w:rPr>
          <w:rFonts w:ascii="Times New Roman" w:hAnsi="Times New Roman"/>
          <w:b w:val="false"/>
          <w:i w:val="false"/>
          <w:color w:val="000000"/>
          <w:sz w:val="22"/>
        </w:rPr>
        <w:t xml:space="preserve">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Funding</w:t>
      </w:r>
      <w:r>
        <w:rPr>
          <w:rFonts w:ascii="Times New Roman" w:hAnsi="Times New Roman"/>
          <w:b/>
          <w:i/>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r>
        <w:rPr>
          <w:rFonts w:ascii="Times New Roman" w:hAnsi="Times New Roman"/>
          <w:b/>
          <w:i w:val="false"/>
          <w:color w:val="000000"/>
          <w:sz w:val="22"/>
        </w:rPr>
        <w:t>.</w:t>
      </w:r>
      <w:r>
        <w:rPr>
          <w:rFonts w:ascii="Times New Roman" w:hAnsi="Times New Roman"/>
          <w:b/>
          <w:i w:val="false"/>
          <w:color w:val="000000"/>
          <w:sz w:val="22"/>
        </w:rPr>
        <w:t>(Repeat this section for each contract action in a program).</w:t>
      </w:r>
    </w:p>
    <w:p>
      <w:pPr>
        <w:pBdr>
          <w:top w:space="5"/>
          <w:left w:space="5"/>
          <w:bottom w:space="5"/>
          <w:right w:space="5"/>
        </w:pBdr>
        <w:spacing w:after="0"/>
        <w:ind w:left="225"/>
        <w:jc w:val="left"/>
      </w:pPr>
      <w:r>
        <w:rPr>
          <w:rFonts w:ascii="Times New Roman" w:hAnsi="Times New Roman"/>
          <w:b w:val="false"/>
          <w:i w:val="false"/>
          <w:color w:val="000000"/>
          <w:sz w:val="22"/>
        </w:rPr>
        <w:t>2.1 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14d86b76a08c4b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and factors considered in establishing delivery schedule or period of performance. Include the rationale for the appropriate period of performance relative to the type of Services procurement.</w:t>
      </w:r>
    </w:p>
    <w:p>
      <w:pPr>
        <w:pBdr>
          <w:top w:space="5"/>
          <w:left w:space="5"/>
          <w:bottom w:space="5"/>
          <w:right w:space="5"/>
        </w:pBdr>
        <w:spacing w:after="0"/>
        <w:ind w:left="225"/>
        <w:jc w:val="left"/>
      </w:pPr>
      <w:r>
        <w:rPr>
          <w:rFonts w:ascii="Times New Roman" w:hAnsi="Times New Roman"/>
          <w:b w:val="false"/>
          <w:i w:val="false"/>
          <w:color w:val="000000"/>
          <w:sz w:val="22"/>
        </w:rPr>
        <w:t>2.1.4 Provide rationale if procuring services that are not performance-based. If an exception is granted by a regulation, state “An exception is granted to performance-based acquisitions per [state the specific regulation.]”</w:t>
      </w:r>
    </w:p>
    <w:p>
      <w:pPr>
        <w:pBdr>
          <w:top w:space="5"/>
          <w:left w:space="5"/>
          <w:bottom w:space="5"/>
          <w:right w:space="5"/>
        </w:pBdr>
        <w:spacing w:after="0"/>
        <w:ind w:left="225"/>
        <w:jc w:val="left"/>
      </w:pPr>
      <w:r>
        <w:rPr>
          <w:rFonts w:ascii="Times New Roman" w:hAnsi="Times New Roman"/>
          <w:b w:val="false"/>
          <w:i w:val="false"/>
          <w:color w:val="000000"/>
          <w:sz w:val="22"/>
        </w:rPr>
        <w:t>2.2 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a5b35d2fc56744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08f40bf636194d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qnEhbv" w:id="1"/>
      <w:r>
        <w:rPr>
          <w:rFonts w:ascii="Times New Roman" w:hAnsi="Times New Roman"/>
          <w:b w:val="false"/>
          <w:i w:val="false"/>
          <w:color w:val="000000"/>
          <w:sz w:val="22"/>
        </w:rPr>
        <w:t>(a)</w:t>
      </w:r>
      <w:bookmarkEnd w:id="1"/>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oYIPjx" w:id="2"/>
      <w:r>
        <w:rPr>
          <w:rFonts w:ascii="Times New Roman" w:hAnsi="Times New Roman"/>
          <w:b w:val="false"/>
          <w:i w:val="false"/>
          <w:color w:val="000000"/>
          <w:sz w:val="22"/>
        </w:rPr>
        <w:t>(b)</w:t>
      </w:r>
      <w:bookmarkEnd w:id="2"/>
      <w:r>
        <w:rPr>
          <w:rFonts w:ascii="Times New Roman" w:hAnsi="Times New Roman"/>
          <w:b w:val="false"/>
          <w:i w:val="false"/>
          <w:color w:val="000000"/>
          <w:sz w:val="22"/>
        </w:rPr>
        <w:t xml:space="preserve"> The identification of supplies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oEncDH" w:id="3"/>
      <w:r>
        <w:rPr>
          <w:rFonts w:ascii="Times New Roman" w:hAnsi="Times New Roman"/>
          <w:b w:val="false"/>
          <w:i w:val="false"/>
          <w:color w:val="000000"/>
          <w:sz w:val="22"/>
        </w:rPr>
        <w:t>(c)</w:t>
      </w:r>
      <w:bookmarkEnd w:id="3"/>
      <w:r>
        <w:rPr>
          <w:rFonts w:ascii="Times New Roman" w:hAnsi="Times New Roman"/>
          <w:b w:val="false"/>
          <w:i w:val="false"/>
          <w:color w:val="000000"/>
          <w:sz w:val="22"/>
        </w:rPr>
        <w:t xml:space="preserve"> 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pPr>
        <w:spacing w:after="0"/>
        <w:jc w:val="left"/>
        <w:ind w:left="720" w:hanging="360"/>
      </w:pPr>
      <w:r>
        <w:rPr>
          <w:rFonts w:ascii="Times New Roman" w:hAnsi="Times New Roman"/>
          <w:b w:val="false"/>
          <w:i w:val="false"/>
          <w:color w:val="000000"/>
          <w:sz w:val="22"/>
        </w:rPr>
        <w:t xml:space="preserve"> </w:t>
      </w:r>
      <w:bookmarkStart w:name="gy07zcpg" w:id="4"/>
      <w:r>
        <w:rPr>
          <w:rFonts w:ascii="Times New Roman" w:hAnsi="Times New Roman"/>
          <w:b w:val="false"/>
          <w:i w:val="false"/>
          <w:color w:val="000000"/>
          <w:sz w:val="22"/>
        </w:rPr>
        <w:t>(d)</w:t>
      </w:r>
      <w:bookmarkEnd w:id="4"/>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ELdcbM" w:id="5"/>
      <w:r>
        <w:rPr>
          <w:rFonts w:ascii="Times New Roman" w:hAnsi="Times New Roman"/>
          <w:b w:val="false"/>
          <w:i w:val="false"/>
          <w:color w:val="000000"/>
          <w:sz w:val="22"/>
        </w:rPr>
        <w:t>(a)</w:t>
      </w:r>
      <w:bookmarkEnd w:id="5"/>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9a5kqys" w:id="6"/>
      <w:r>
        <w:rPr>
          <w:rFonts w:ascii="Times New Roman" w:hAnsi="Times New Roman"/>
          <w:b w:val="false"/>
          <w:i w:val="false"/>
          <w:color w:val="000000"/>
          <w:sz w:val="22"/>
        </w:rPr>
        <w:t>(b)</w:t>
      </w:r>
      <w:bookmarkEnd w:id="6"/>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IPsYDG" w:id="7"/>
      <w:r>
        <w:rPr>
          <w:rFonts w:ascii="Times New Roman" w:hAnsi="Times New Roman"/>
          <w:b w:val="false"/>
          <w:i w:val="false"/>
          <w:color w:val="000000"/>
          <w:sz w:val="22"/>
        </w:rPr>
        <w:t>(a)</w:t>
      </w:r>
      <w:bookmarkEnd w:id="7"/>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olbc9pu" w:id="8"/>
      <w:r>
        <w:rPr>
          <w:rFonts w:ascii="Times New Roman" w:hAnsi="Times New Roman"/>
          <w:b w:val="false"/>
          <w:i w:val="false"/>
          <w:color w:val="000000"/>
          <w:sz w:val="22"/>
        </w:rPr>
        <w:t>(b)</w:t>
      </w:r>
      <w:bookmarkEnd w:id="8"/>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 -</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WtzRjY" w:id="9"/>
      <w:r>
        <w:rPr>
          <w:rFonts w:ascii="Times New Roman" w:hAnsi="Times New Roman"/>
          <w:b w:val="false"/>
          <w:i w:val="false"/>
          <w:color w:val="000000"/>
          <w:sz w:val="22"/>
        </w:rPr>
        <w:t>(a)</w:t>
      </w:r>
      <w:bookmarkEnd w:id="9"/>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askq343m" w:id="10"/>
      <w:r>
        <w:rPr>
          <w:rFonts w:ascii="Times New Roman" w:hAnsi="Times New Roman"/>
          <w:b w:val="false"/>
          <w:i w:val="false"/>
          <w:color w:val="000000"/>
          <w:sz w:val="22"/>
        </w:rPr>
        <w:t>(b)</w:t>
      </w:r>
      <w:bookmarkEnd w:id="10"/>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STRAPs for MDAPs, discuss how the following measures were considered:</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KIEqtp" w:id="11"/>
      <w:r>
        <w:rPr>
          <w:rFonts w:ascii="Times New Roman" w:hAnsi="Times New Roman"/>
          <w:b w:val="false"/>
          <w:i w:val="false"/>
          <w:color w:val="000000"/>
          <w:sz w:val="22"/>
        </w:rPr>
        <w:t>(a)</w:t>
      </w:r>
      <w:bookmarkEnd w:id="11"/>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gbkBTp" w:id="12"/>
      <w:r>
        <w:rPr>
          <w:rFonts w:ascii="Times New Roman" w:hAnsi="Times New Roman"/>
          <w:b w:val="false"/>
          <w:i w:val="false"/>
          <w:color w:val="000000"/>
          <w:sz w:val="22"/>
        </w:rPr>
        <w:t>(b)</w:t>
      </w:r>
      <w:bookmarkEnd w:id="12"/>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FHPQaC" w:id="13"/>
      <w:r>
        <w:rPr>
          <w:rFonts w:ascii="Times New Roman" w:hAnsi="Times New Roman"/>
          <w:b w:val="false"/>
          <w:i w:val="false"/>
          <w:color w:val="000000"/>
          <w:sz w:val="22"/>
        </w:rPr>
        <w:t>(c)</w:t>
      </w:r>
      <w:bookmarkEnd w:id="13"/>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xBDkIy" w:id="14"/>
      <w:r>
        <w:rPr>
          <w:rFonts w:ascii="Times New Roman" w:hAnsi="Times New Roman"/>
          <w:b w:val="false"/>
          <w:i w:val="false"/>
          <w:color w:val="000000"/>
          <w:sz w:val="22"/>
        </w:rPr>
        <w:t>(d)</w:t>
      </w:r>
      <w:bookmarkEnd w:id="14"/>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FZsffe" w:id="15"/>
      <w:r>
        <w:rPr>
          <w:rFonts w:ascii="Times New Roman" w:hAnsi="Times New Roman"/>
          <w:b w:val="false"/>
          <w:i w:val="false"/>
          <w:color w:val="000000"/>
          <w:sz w:val="22"/>
        </w:rPr>
        <w:t>(e)</w:t>
      </w:r>
      <w:bookmarkEnd w:id="15"/>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HakJvU" w:id="16"/>
      <w:r>
        <w:rPr>
          <w:rFonts w:ascii="Times New Roman" w:hAnsi="Times New Roman"/>
          <w:b w:val="false"/>
          <w:i w:val="false"/>
          <w:color w:val="000000"/>
          <w:sz w:val="22"/>
        </w:rPr>
        <w:t>(f)</w:t>
      </w:r>
      <w:bookmarkEnd w:id="16"/>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gqCndc" w:id="17"/>
      <w:r>
        <w:rPr>
          <w:rFonts w:ascii="Times New Roman" w:hAnsi="Times New Roman"/>
          <w:b w:val="false"/>
          <w:i w:val="false"/>
          <w:color w:val="000000"/>
          <w:sz w:val="22"/>
        </w:rPr>
        <w:t>(g)</w:t>
      </w:r>
      <w:bookmarkEnd w:id="17"/>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vwsrik" w:id="18"/>
      <w:r>
        <w:rPr>
          <w:rFonts w:ascii="Times New Roman" w:hAnsi="Times New Roman"/>
          <w:b w:val="false"/>
          <w:i w:val="false"/>
          <w:color w:val="000000"/>
          <w:sz w:val="22"/>
        </w:rPr>
        <w:t>(h)</w:t>
      </w:r>
      <w:bookmarkEnd w:id="18"/>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PesHli" w:id="19"/>
      <w:r>
        <w:rPr>
          <w:rFonts w:ascii="Times New Roman" w:hAnsi="Times New Roman"/>
          <w:b w:val="false"/>
          <w:i w:val="false"/>
          <w:color w:val="000000"/>
          <w:sz w:val="22"/>
        </w:rPr>
        <w:t>(i)</w:t>
      </w:r>
      <w:bookmarkEnd w:id="19"/>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i2tyldtn" w:id="20"/>
      <w:r>
        <w:rPr>
          <w:rFonts w:ascii="Times New Roman" w:hAnsi="Times New Roman"/>
          <w:b w:val="false"/>
          <w:i w:val="false"/>
          <w:color w:val="000000"/>
          <w:sz w:val="22"/>
        </w:rPr>
        <w:t>(j)</w:t>
      </w:r>
      <w:bookmarkEnd w:id="20"/>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2.4.5 Participation Decision Points (Applicable to Services Contracts only).</w:t>
      </w:r>
    </w:p>
    <w:p>
      <w:pPr>
        <w:pBdr>
          <w:top w:space="5"/>
          <w:left w:space="5"/>
          <w:bottom w:space="5"/>
          <w:right w:space="5"/>
        </w:pBdr>
        <w:spacing w:after="0"/>
        <w:ind w:left="225"/>
        <w:jc w:val="left"/>
      </w:pPr>
      <w:r>
        <w:rPr>
          <w:rFonts w:ascii="Times New Roman" w:hAnsi="Times New Roman"/>
          <w:b w:val="false"/>
          <w:i w:val="false"/>
          <w:color w:val="000000"/>
          <w:sz w:val="22"/>
        </w:rPr>
        <w:t>2.4.5.1 Discuss how effective competition will be maintained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2.4.5.2 For services contracts with a period of performance longer than 5 years, discuss the use of on-ramps and off-ramps (entry and exit points), if applicable, to ensure the availability and viability of a qualified pool of contractors.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p>
    <w:p>
      <w:pPr>
        <w:pBdr>
          <w:top w:space="5"/>
          <w:left w:space="5"/>
          <w:bottom w:space="5"/>
          <w:right w:space="5"/>
        </w:pBdr>
        <w:spacing w:after="0"/>
        <w:ind w:left="225"/>
        <w:jc w:val="left"/>
      </w:pPr>
      <w:r>
        <w:rPr>
          <w:rFonts w:ascii="Times New Roman" w:hAnsi="Times New Roman"/>
          <w:b w:val="false"/>
          <w:i w:val="false"/>
          <w:color w:val="000000"/>
          <w:sz w:val="22"/>
        </w:rPr>
        <w:t>2.6.1 Explain the type of source selection procedure being contemplated (i.e., Lowest Price Technically Acceptable (LPTA), Price/Technical Tradeoff or Value Adjusted Total Evaluated Price (VATEP)) in the evaluation of proposals and source selection.</w:t>
      </w:r>
    </w:p>
    <w:p>
      <w:pPr>
        <w:pBdr>
          <w:top w:space="5"/>
          <w:left w:space="5"/>
          <w:bottom w:space="5"/>
          <w:right w:space="5"/>
        </w:pBdr>
        <w:spacing w:after="0"/>
        <w:ind w:left="225"/>
        <w:jc w:val="left"/>
      </w:pPr>
      <w:r>
        <w:rPr>
          <w:rFonts w:ascii="Times New Roman" w:hAnsi="Times New Roman"/>
          <w:b w:val="false"/>
          <w:i w:val="false"/>
          <w:color w:val="000000"/>
          <w:sz w:val="22"/>
        </w:rPr>
        <w:t>2.6.2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KaEQrU" w:id="21"/>
      <w:r>
        <w:rPr>
          <w:rFonts w:ascii="Times New Roman" w:hAnsi="Times New Roman"/>
          <w:b w:val="false"/>
          <w:i w:val="false"/>
          <w:color w:val="000000"/>
          <w:sz w:val="22"/>
        </w:rPr>
        <w:t>(a)</w:t>
      </w:r>
      <w:bookmarkEnd w:id="21"/>
      <w:r>
        <w:rPr>
          <w:rFonts w:ascii="Times New Roman" w:hAnsi="Times New Roman"/>
          <w:b w:val="false"/>
          <w:i w:val="false"/>
          <w:color w:val="000000"/>
          <w:sz w:val="22"/>
        </w:rPr>
        <w:t xml:space="preserve"> Services Requirements Review Board;</w:t>
      </w:r>
    </w:p>
    <w:p>
      <w:pPr>
        <w:spacing w:after="0"/>
        <w:jc w:val="left"/>
        <w:ind w:left="720" w:hanging="360"/>
      </w:pPr>
      <w:r>
        <w:rPr>
          <w:rFonts w:ascii="Times New Roman" w:hAnsi="Times New Roman"/>
          <w:b w:val="false"/>
          <w:i w:val="false"/>
          <w:color w:val="000000"/>
          <w:sz w:val="22"/>
        </w:rPr>
        <w:t xml:space="preserve"> </w:t>
      </w:r>
      <w:bookmarkStart w:name="CdoWhk" w:id="22"/>
      <w:r>
        <w:rPr>
          <w:rFonts w:ascii="Times New Roman" w:hAnsi="Times New Roman"/>
          <w:b w:val="false"/>
          <w:i w:val="false"/>
          <w:color w:val="000000"/>
          <w:sz w:val="22"/>
        </w:rPr>
        <w:t>(b)</w:t>
      </w:r>
      <w:bookmarkEnd w:id="22"/>
      <w:r>
        <w:rPr>
          <w:rFonts w:ascii="Times New Roman" w:hAnsi="Times New Roman"/>
          <w:b w:val="false"/>
          <w:i w:val="false"/>
          <w:color w:val="000000"/>
          <w:sz w:val="22"/>
        </w:rPr>
        <w:t xml:space="preserve"> For IT Services, Clinger-Cohen Act Certification;</w:t>
      </w:r>
    </w:p>
    <w:p>
      <w:pPr>
        <w:spacing w:after="0"/>
        <w:jc w:val="left"/>
        <w:ind w:left="720" w:hanging="360"/>
      </w:pPr>
      <w:r>
        <w:rPr>
          <w:rFonts w:ascii="Times New Roman" w:hAnsi="Times New Roman"/>
          <w:b w:val="false"/>
          <w:i w:val="false"/>
          <w:color w:val="000000"/>
          <w:sz w:val="22"/>
        </w:rPr>
        <w:t xml:space="preserve"> </w:t>
      </w:r>
      <w:bookmarkStart w:name="rzYzou" w:id="23"/>
      <w:r>
        <w:rPr>
          <w:rFonts w:ascii="Times New Roman" w:hAnsi="Times New Roman"/>
          <w:b w:val="false"/>
          <w:i w:val="false"/>
          <w:color w:val="000000"/>
          <w:sz w:val="22"/>
        </w:rPr>
        <w:t>(c)</w:t>
      </w:r>
      <w:bookmarkEnd w:id="23"/>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Hftbbf" w:id="24"/>
      <w:r>
        <w:rPr>
          <w:rFonts w:ascii="Times New Roman" w:hAnsi="Times New Roman"/>
          <w:b w:val="false"/>
          <w:i w:val="false"/>
          <w:color w:val="000000"/>
          <w:sz w:val="22"/>
        </w:rPr>
        <w:t>(d)</w:t>
      </w:r>
      <w:bookmarkEnd w:id="24"/>
      <w:r>
        <w:rPr>
          <w:rFonts w:ascii="Times New Roman" w:hAnsi="Times New Roman"/>
          <w:b w:val="false"/>
          <w:i w:val="false"/>
          <w:color w:val="000000"/>
          <w:sz w:val="22"/>
        </w:rPr>
        <w:t xml:space="preserve"> Issuance of solicitation; and</w:t>
      </w:r>
    </w:p>
    <w:p>
      <w:pPr>
        <w:spacing w:after="0"/>
        <w:jc w:val="left"/>
        <w:ind w:left="720" w:hanging="360"/>
      </w:pPr>
      <w:r>
        <w:rPr>
          <w:rFonts w:ascii="Times New Roman" w:hAnsi="Times New Roman"/>
          <w:b w:val="false"/>
          <w:i w:val="false"/>
          <w:color w:val="000000"/>
          <w:sz w:val="22"/>
        </w:rPr>
        <w:t xml:space="preserve"> </w:t>
      </w:r>
      <w:bookmarkStart w:name="s096c6ws" w:id="25"/>
      <w:r>
        <w:rPr>
          <w:rFonts w:ascii="Times New Roman" w:hAnsi="Times New Roman"/>
          <w:b w:val="false"/>
          <w:i w:val="false"/>
          <w:color w:val="000000"/>
          <w:sz w:val="22"/>
        </w:rPr>
        <w:t>(e)</w:t>
      </w:r>
      <w:bookmarkEnd w:id="25"/>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r>
        <w:rPr>
          <w:rFonts w:ascii="Times New Roman" w:hAnsi="Times New Roman"/>
          <w:b w:val="false"/>
          <w:i w:val="false"/>
          <w:color w:val="000000"/>
          <w:sz w:val="22"/>
        </w:rPr>
        <w:t>MDA approval of the Technology Development Strategy;</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UPXbWA" w:id="26"/>
      <w:r>
        <w:rPr>
          <w:rFonts w:ascii="Times New Roman" w:hAnsi="Times New Roman"/>
          <w:b w:val="false"/>
          <w:i w:val="false"/>
          <w:color w:val="000000"/>
          <w:sz w:val="22"/>
        </w:rPr>
        <w:t>(a)</w:t>
      </w:r>
      <w:bookmarkEnd w:id="26"/>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TNTMsa" w:id="27"/>
      <w:r>
        <w:rPr>
          <w:rFonts w:ascii="Times New Roman" w:hAnsi="Times New Roman"/>
          <w:b w:val="false"/>
          <w:i w:val="false"/>
          <w:color w:val="000000"/>
          <w:sz w:val="22"/>
        </w:rPr>
        <w:t>(b)</w:t>
      </w:r>
      <w:bookmarkEnd w:id="27"/>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ciDivf" w:id="28"/>
      <w:r>
        <w:rPr>
          <w:rFonts w:ascii="Times New Roman" w:hAnsi="Times New Roman"/>
          <w:b w:val="false"/>
          <w:i w:val="false"/>
          <w:color w:val="000000"/>
          <w:sz w:val="22"/>
        </w:rPr>
        <w:t>(c)</w:t>
      </w:r>
      <w:bookmarkEnd w:id="28"/>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klPMzR" w:id="29"/>
      <w:r>
        <w:rPr>
          <w:rFonts w:ascii="Times New Roman" w:hAnsi="Times New Roman"/>
          <w:b w:val="false"/>
          <w:i w:val="false"/>
          <w:color w:val="000000"/>
          <w:sz w:val="22"/>
        </w:rPr>
        <w:t>(d)</w:t>
      </w:r>
      <w:bookmarkEnd w:id="29"/>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hug2gnxa" w:id="30"/>
      <w:r>
        <w:rPr>
          <w:rFonts w:ascii="Times New Roman" w:hAnsi="Times New Roman"/>
          <w:b w:val="false"/>
          <w:i w:val="false"/>
          <w:color w:val="000000"/>
          <w:sz w:val="22"/>
        </w:rPr>
        <w:t>(e)</w:t>
      </w:r>
      <w:bookmarkEnd w:id="30"/>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Discuss the Government process for tracking and overseeing contractor delivery.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2.8.3 Discuss how the Government Team will use the Quality Assurance Surveillance Plan (QASP) to monitor contractor performance.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2.8.4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Contract Management and Administration</w:t>
      </w:r>
    </w:p>
    <w:p>
      <w:pPr>
        <w:pBdr>
          <w:top w:space="5"/>
          <w:left w:space="5"/>
          <w:bottom w:space="5"/>
          <w:right w:space="5"/>
        </w:pBdr>
        <w:spacing w:after="0"/>
        <w:ind w:left="225"/>
        <w:jc w:val="left"/>
      </w:pPr>
      <w:r>
        <w:rPr>
          <w:rFonts w:ascii="Times New Roman" w:hAnsi="Times New Roman"/>
          <w:b w:val="false"/>
          <w:i w:val="false"/>
          <w:color w:val="000000"/>
          <w:sz w:val="22"/>
        </w:rPr>
        <w:t>2.9.1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2.9.2 Discuss existing or proposed management approach for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2.9.3 Contracting Officer’s Representative (COR)</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fVItsp" w:id="31"/>
      <w:r>
        <w:rPr>
          <w:rFonts w:ascii="Times New Roman" w:hAnsi="Times New Roman"/>
          <w:b w:val="false"/>
          <w:i w:val="false"/>
          <w:color w:val="000000"/>
          <w:sz w:val="22"/>
        </w:rPr>
        <w:t>(a)</w:t>
      </w:r>
      <w:bookmarkEnd w:id="31"/>
      <w:r>
        <w:rPr>
          <w:rFonts w:ascii="Times New Roman" w:hAnsi="Times New Roman"/>
          <w:b w:val="false"/>
          <w:i w:val="false"/>
          <w:color w:val="000000"/>
          <w:sz w:val="22"/>
        </w:rPr>
        <w:t xml:space="preserve"> Discuss the COR qualifications to support effective contract management and oversight.</w:t>
      </w:r>
    </w:p>
    <w:p>
      <w:pPr>
        <w:spacing w:after="0"/>
        <w:jc w:val="left"/>
        <w:ind w:left="720" w:hanging="360"/>
      </w:pPr>
      <w:r>
        <w:rPr>
          <w:rFonts w:ascii="Times New Roman" w:hAnsi="Times New Roman"/>
          <w:b w:val="false"/>
          <w:i w:val="false"/>
          <w:color w:val="000000"/>
          <w:sz w:val="22"/>
        </w:rPr>
        <w:t xml:space="preserve"> </w:t>
      </w:r>
      <w:bookmarkStart w:name="aki1cg7f" w:id="32"/>
      <w:r>
        <w:rPr>
          <w:rFonts w:ascii="Times New Roman" w:hAnsi="Times New Roman"/>
          <w:b w:val="false"/>
          <w:i w:val="false"/>
          <w:color w:val="000000"/>
          <w:sz w:val="22"/>
        </w:rPr>
        <w:t>(b)</w:t>
      </w:r>
      <w:bookmarkEnd w:id="32"/>
      <w:r>
        <w:rPr>
          <w:rFonts w:ascii="Times New Roman" w:hAnsi="Times New Roman"/>
          <w:b w:val="false"/>
          <w:i w:val="false"/>
          <w:color w:val="000000"/>
          <w:sz w:val="22"/>
        </w:rPr>
        <w:t xml:space="preserve"> Discuss COR workload management to ensure effective job performance (e.g., number of contracts managed, other duties assigned, etc.).</w:t>
      </w:r>
    </w:p>
    <w:p>
      <w:pPr>
        <w:pBdr>
          <w:top w:space="5"/>
          <w:left w:space="5"/>
          <w:bottom w:space="5"/>
          <w:right w:space="5"/>
        </w:pBdr>
        <w:spacing w:after="0"/>
        <w:ind w:left="225"/>
        <w:jc w:val="left"/>
      </w:pPr>
      <w:r>
        <w:rPr>
          <w:rFonts w:ascii="Times New Roman" w:hAnsi="Times New Roman"/>
          <w:b w:val="false"/>
          <w:i w:val="false"/>
          <w:color w:val="000000"/>
          <w:sz w:val="22"/>
        </w:rPr>
        <w:t>2.10 Requirements Validation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Service Acquisition Workshop (SAW).</w:t>
      </w:r>
      <w:r>
        <w:rPr>
          <w:rFonts w:ascii="Times New Roman" w:hAnsi="Times New Roman"/>
          <w:b w:val="false"/>
          <w:i w:val="false"/>
          <w:color w:val="000000"/>
          <w:sz w:val="22"/>
        </w:rPr>
        <w:t xml:space="preserve"> For Services acquisitions above the threshold defined in 5237.192(a), discuss the use of the SAW (include the anticipated participants in the multi-functional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w:sectPr>
      <w:pgSz w:w="12240" w:h="15840" w:code="1"/>
      <w:pgMar w:top="1440" w:right="1440" w:bottom="1440" w:left="1440"/>
      <w:pgNumType w:start="1"/>
      <w:footerReference w:type="default" r:id="R8d940ffb6d9743d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d940ffb6d9743dd" /><Relationship Type="http://schemas.openxmlformats.org/officeDocument/2006/relationships/hyperlink" Target="https://psctool.us" TargetMode="External" Id="R14d86b76a08c4b19" /><Relationship Type="http://schemas.openxmlformats.org/officeDocument/2006/relationships/hyperlink" Target="http://www.contractdirectory.gov/contractdirectory/" TargetMode="External" Id="Ra5b35d2fc56744b8" /><Relationship Type="http://schemas.openxmlformats.org/officeDocument/2006/relationships/hyperlink" Target="http://www.abilityone.gov/procurement_list/index.html" TargetMode="External" Id="R08f40bf636194dc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