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25" w:id="0"/>
      <w:r>
        <w:rPr>
          <w:rFonts w:ascii="Times New Roman" w:hAnsi="Times New Roman"/>
          <w:color w:val="000000"/>
        </w:rPr>
        <w:t>ANNEX 25</w:t>
      </w:r>
      <w:r>
        <w:rPr>
          <w:rFonts w:ascii="Times New Roman" w:hAnsi="Times New Roman"/>
          <w:color w:val="000000"/>
        </w:rPr>
        <w:t xml:space="preserve"> - LONG RANGE ACQUISITION FORECAST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Pursuant to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the template below shall be used in reporting the long range acquisition forecast. The electronic version of this template is available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on the website identified at NMCARS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943600" cy="9417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c3e998fea24f48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  <w:pgNumType w:start="1"/>
      <w:footerReference w:type="default" r:id="Rc07948f90a9043a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image" Target="/media/image.bin" Id="Rc3e998fea24f4872" /><Relationship Type="http://schemas.openxmlformats.org/officeDocument/2006/relationships/footer" Target="/word/footer11.xml" Id="Rc07948f90a9043a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